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66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28"/>
        <w:gridCol w:w="3669"/>
      </w:tblGrid>
      <w:tr w:rsidR="009F7472" w14:paraId="19454B74" w14:textId="77777777" w:rsidTr="009F7472">
        <w:trPr>
          <w:trHeight w:val="1079"/>
          <w:jc w:val="center"/>
        </w:trPr>
        <w:tc>
          <w:tcPr>
            <w:tcW w:w="6928" w:type="dxa"/>
            <w:vAlign w:val="bottom"/>
          </w:tcPr>
          <w:p w14:paraId="5F918719" w14:textId="4FF82F89" w:rsidR="009F7472" w:rsidRPr="009F7472" w:rsidRDefault="009F7472" w:rsidP="006F1B12">
            <w:pPr>
              <w:pStyle w:val="Title"/>
              <w:rPr>
                <w:color w:val="B80B4D"/>
                <w:highlight w:val="magenta"/>
              </w:rPr>
            </w:pPr>
            <w:bookmarkStart w:id="0" w:name="_Toc270846599"/>
            <w:bookmarkStart w:id="1" w:name="_Toc275283084"/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14:paraId="6FA9DA98" w14:textId="5BA1AE9B" w:rsidR="006F1B12" w:rsidRDefault="001F4277" w:rsidP="006F1B12">
            <w:pPr>
              <w:pStyle w:val="Subtitle"/>
              <w:jc w:val="right"/>
              <w:rPr>
                <w:rStyle w:val="DocSubTitle"/>
                <w:color w:val="B80B4D"/>
              </w:rPr>
            </w:pPr>
            <w:r>
              <w:rPr>
                <w:rStyle w:val="DocSubTitle"/>
                <w:color w:val="B80B4D"/>
              </w:rPr>
              <w:t xml:space="preserve">DIRECTIVE No. </w:t>
            </w:r>
            <w:r w:rsidR="006F1B12">
              <w:rPr>
                <w:rStyle w:val="DocSubTitle"/>
                <w:color w:val="B80B4D"/>
              </w:rPr>
              <w:t>13/13</w:t>
            </w:r>
          </w:p>
          <w:p w14:paraId="6DCD491A" w14:textId="70837318" w:rsidR="00C570E4" w:rsidRPr="00095345" w:rsidRDefault="00C570E4" w:rsidP="00095345">
            <w:pPr>
              <w:autoSpaceDE w:val="0"/>
              <w:autoSpaceDN w:val="0"/>
              <w:adjustRightInd w:val="0"/>
              <w:jc w:val="right"/>
              <w:rPr>
                <w:rStyle w:val="DocSubTitle"/>
                <w:i/>
                <w:color w:val="B80B4D"/>
                <w:sz w:val="14"/>
              </w:rPr>
            </w:pPr>
          </w:p>
          <w:p w14:paraId="6CF8A0FF" w14:textId="7F4475CE" w:rsidR="009F7472" w:rsidRPr="009F7472" w:rsidRDefault="009F7472" w:rsidP="006F1B12">
            <w:pPr>
              <w:pStyle w:val="Subtitle"/>
              <w:jc w:val="right"/>
              <w:rPr>
                <w:color w:val="B80B4D"/>
                <w:highlight w:val="magenta"/>
              </w:rPr>
            </w:pPr>
          </w:p>
        </w:tc>
      </w:tr>
    </w:tbl>
    <w:p w14:paraId="61FF772C" w14:textId="522C65E0" w:rsidR="009F7472" w:rsidRDefault="001F4277" w:rsidP="009F7472">
      <w:pPr>
        <w:pStyle w:val="Heading1"/>
      </w:pPr>
      <w:r>
        <w:t xml:space="preserve">Commission Chief Executive Directive: </w:t>
      </w:r>
      <w:r w:rsidR="00095345">
        <w:t>Executive Remuneration Pa</w:t>
      </w:r>
      <w:bookmarkStart w:id="2" w:name="_GoBack"/>
      <w:bookmarkEnd w:id="2"/>
      <w:r w:rsidR="00095345">
        <w:t>ckage – Motor Vehicles and Allowances</w:t>
      </w:r>
    </w:p>
    <w:p w14:paraId="208BB0DF" w14:textId="1A151037" w:rsidR="009F7472" w:rsidRDefault="00095345" w:rsidP="001F4277">
      <w:pPr>
        <w:pStyle w:val="Heading2"/>
        <w:numPr>
          <w:ilvl w:val="0"/>
          <w:numId w:val="31"/>
        </w:numPr>
        <w:spacing w:line="360" w:lineRule="auto"/>
      </w:pPr>
      <w:r>
        <w:t>Purpose</w:t>
      </w:r>
      <w:r w:rsidR="00F81DCB">
        <w:t>:</w:t>
      </w:r>
    </w:p>
    <w:p w14:paraId="195C46A1" w14:textId="0B7D138B" w:rsidR="00095345" w:rsidRPr="00095345" w:rsidRDefault="00095345" w:rsidP="001F4277">
      <w:pPr>
        <w:autoSpaceDE w:val="0"/>
        <w:autoSpaceDN w:val="0"/>
        <w:adjustRightInd w:val="0"/>
        <w:spacing w:before="120" w:after="120" w:line="360" w:lineRule="auto"/>
      </w:pPr>
      <w:r w:rsidRPr="00095345">
        <w:t>To specify the arrangements for motor vehicle allowances provided to executives as part of their</w:t>
      </w:r>
      <w:r w:rsidR="00D648FC">
        <w:t xml:space="preserve"> </w:t>
      </w:r>
      <w:r w:rsidRPr="00095345">
        <w:t>remuneration package.</w:t>
      </w:r>
    </w:p>
    <w:p w14:paraId="64A46D14" w14:textId="5124F6BC" w:rsidR="00095345" w:rsidRPr="00F81DCB" w:rsidRDefault="00095345" w:rsidP="009B1E67">
      <w:pPr>
        <w:pStyle w:val="Heading2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>
        <w:t>Effective date</w:t>
      </w:r>
      <w:r w:rsidR="00F81DCB">
        <w:t xml:space="preserve">: </w:t>
      </w:r>
      <w:r w:rsidRPr="00F81DCB">
        <w:rPr>
          <w:color w:val="auto"/>
          <w:sz w:val="22"/>
          <w:szCs w:val="22"/>
        </w:rPr>
        <w:t>13 September 2013</w:t>
      </w:r>
    </w:p>
    <w:p w14:paraId="23189F0D" w14:textId="037CB8EB" w:rsidR="00095345" w:rsidRDefault="00095345" w:rsidP="001F4277">
      <w:pPr>
        <w:pStyle w:val="Heading2"/>
        <w:numPr>
          <w:ilvl w:val="0"/>
          <w:numId w:val="31"/>
        </w:numPr>
        <w:spacing w:line="360" w:lineRule="auto"/>
      </w:pPr>
      <w:r>
        <w:t>Legislative provisions</w:t>
      </w:r>
      <w:r w:rsidR="00F81DCB">
        <w:t xml:space="preserve">: </w:t>
      </w:r>
    </w:p>
    <w:p w14:paraId="61576C05" w14:textId="77777777" w:rsidR="00095345" w:rsidRPr="00095345" w:rsidRDefault="00095345" w:rsidP="001F4277">
      <w:pPr>
        <w:autoSpaceDE w:val="0"/>
        <w:autoSpaceDN w:val="0"/>
        <w:adjustRightInd w:val="0"/>
        <w:spacing w:before="120" w:after="120" w:line="360" w:lineRule="auto"/>
      </w:pPr>
      <w:r w:rsidRPr="00095345">
        <w:t xml:space="preserve">Sections 53(b), 53(baa), 96, 113, 121 and 122 of </w:t>
      </w:r>
      <w:r w:rsidRPr="001F4277">
        <w:rPr>
          <w:i/>
        </w:rPr>
        <w:t>Public Service Act 2008</w:t>
      </w:r>
      <w:r w:rsidRPr="00095345">
        <w:t xml:space="preserve"> (PSA)</w:t>
      </w:r>
    </w:p>
    <w:p w14:paraId="2444554D" w14:textId="0450A7B1" w:rsidR="00095345" w:rsidRDefault="00095345" w:rsidP="001F4277">
      <w:pPr>
        <w:pStyle w:val="Heading2"/>
        <w:numPr>
          <w:ilvl w:val="0"/>
          <w:numId w:val="31"/>
        </w:numPr>
        <w:spacing w:line="360" w:lineRule="auto"/>
      </w:pPr>
      <w:r>
        <w:t>Application</w:t>
      </w:r>
      <w:r w:rsidR="00F81DCB">
        <w:t>:</w:t>
      </w:r>
    </w:p>
    <w:p w14:paraId="3CE1061E" w14:textId="6FC6599C" w:rsidR="00095345" w:rsidRPr="00095345" w:rsidRDefault="00095345" w:rsidP="001F4277">
      <w:pPr>
        <w:autoSpaceDE w:val="0"/>
        <w:autoSpaceDN w:val="0"/>
        <w:adjustRightInd w:val="0"/>
        <w:spacing w:before="120" w:after="120" w:line="360" w:lineRule="auto"/>
      </w:pPr>
      <w:r w:rsidRPr="00095345">
        <w:t>This directive applies to chief executives, senior executives and persons engaged under s122 who receive an executive vehicle allowance as part of their remuneration package.</w:t>
      </w:r>
    </w:p>
    <w:p w14:paraId="46C4D5AD" w14:textId="253DF56A" w:rsidR="00095345" w:rsidRDefault="00095345" w:rsidP="001F4277">
      <w:pPr>
        <w:pStyle w:val="Heading2"/>
        <w:numPr>
          <w:ilvl w:val="0"/>
          <w:numId w:val="31"/>
        </w:numPr>
        <w:spacing w:line="360" w:lineRule="auto"/>
      </w:pPr>
      <w:r>
        <w:t>Previous references</w:t>
      </w:r>
      <w:r w:rsidR="00F81DCB">
        <w:t>:</w:t>
      </w:r>
    </w:p>
    <w:p w14:paraId="179E05DD" w14:textId="77777777" w:rsidR="00095345" w:rsidRPr="00095345" w:rsidRDefault="00095345" w:rsidP="001F4277">
      <w:pPr>
        <w:autoSpaceDE w:val="0"/>
        <w:autoSpaceDN w:val="0"/>
        <w:adjustRightInd w:val="0"/>
        <w:spacing w:before="120" w:after="120" w:line="360" w:lineRule="auto"/>
      </w:pPr>
      <w:r w:rsidRPr="00095345">
        <w:t>Policy: Executive Remuneration Package – Motor Vehicle (June 2012)</w:t>
      </w:r>
    </w:p>
    <w:p w14:paraId="499CBDBA" w14:textId="54FC9B41" w:rsidR="00095345" w:rsidRDefault="00095345" w:rsidP="001F4277">
      <w:pPr>
        <w:pStyle w:val="Heading2"/>
        <w:numPr>
          <w:ilvl w:val="0"/>
          <w:numId w:val="31"/>
        </w:numPr>
        <w:spacing w:line="360" w:lineRule="auto"/>
      </w:pPr>
      <w:r>
        <w:t>Related information</w:t>
      </w:r>
      <w:r w:rsidR="00F81DCB">
        <w:t>:</w:t>
      </w:r>
    </w:p>
    <w:p w14:paraId="3CA5D949" w14:textId="77777777" w:rsidR="00095345" w:rsidRPr="00095345" w:rsidRDefault="00095345" w:rsidP="001F427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cs="Arial"/>
          <w:sz w:val="23"/>
          <w:szCs w:val="23"/>
        </w:rPr>
      </w:pPr>
      <w:r w:rsidRPr="00095345">
        <w:rPr>
          <w:rFonts w:cs="Arial"/>
          <w:sz w:val="23"/>
          <w:szCs w:val="23"/>
        </w:rPr>
        <w:t>Directive relating to senior executive service employment conditions</w:t>
      </w:r>
    </w:p>
    <w:p w14:paraId="418D9146" w14:textId="41EF4ECD" w:rsidR="00095345" w:rsidRPr="00095345" w:rsidRDefault="00095345" w:rsidP="001F427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cs="Arial"/>
          <w:sz w:val="23"/>
          <w:szCs w:val="23"/>
        </w:rPr>
      </w:pPr>
      <w:r w:rsidRPr="00095345">
        <w:rPr>
          <w:rFonts w:cs="Arial"/>
          <w:sz w:val="23"/>
          <w:szCs w:val="23"/>
        </w:rPr>
        <w:t>Directive relating to engaging officers on contracts for a fixed term</w:t>
      </w:r>
    </w:p>
    <w:p w14:paraId="6F0AF668" w14:textId="16B9A3BA" w:rsidR="00095345" w:rsidRPr="00095345" w:rsidRDefault="00095345" w:rsidP="001F427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cs="Arial"/>
          <w:sz w:val="23"/>
          <w:szCs w:val="23"/>
        </w:rPr>
      </w:pPr>
      <w:r w:rsidRPr="00095345">
        <w:rPr>
          <w:rFonts w:cs="Arial"/>
          <w:sz w:val="23"/>
          <w:szCs w:val="23"/>
        </w:rPr>
        <w:t>Executive contracts of employment</w:t>
      </w:r>
    </w:p>
    <w:p w14:paraId="129BD4AB" w14:textId="62F3D353" w:rsidR="00095345" w:rsidRPr="00095345" w:rsidRDefault="00095345" w:rsidP="001F427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cs="Arial"/>
          <w:sz w:val="23"/>
          <w:szCs w:val="23"/>
        </w:rPr>
      </w:pPr>
      <w:r w:rsidRPr="00095345">
        <w:rPr>
          <w:rFonts w:cs="Arial"/>
          <w:sz w:val="23"/>
          <w:szCs w:val="23"/>
        </w:rPr>
        <w:t>Policy on the use of government owned motor vehicles and parking of private vehicles on official</w:t>
      </w:r>
      <w:r w:rsidR="00614AF3">
        <w:rPr>
          <w:rFonts w:cs="Arial"/>
          <w:sz w:val="23"/>
          <w:szCs w:val="23"/>
        </w:rPr>
        <w:t xml:space="preserve"> premises</w:t>
      </w:r>
    </w:p>
    <w:p w14:paraId="3482C8E4" w14:textId="4A560C55" w:rsidR="00614AF3" w:rsidRPr="001F4277" w:rsidRDefault="00614AF3" w:rsidP="001F4277">
      <w:pPr>
        <w:pStyle w:val="Heading2"/>
        <w:spacing w:line="360" w:lineRule="auto"/>
        <w:rPr>
          <w:i/>
        </w:rPr>
      </w:pPr>
      <w:r w:rsidRPr="001F4277">
        <w:rPr>
          <w:i/>
        </w:rPr>
        <w:t>Directive</w:t>
      </w:r>
    </w:p>
    <w:p w14:paraId="1861ADDE" w14:textId="77777777" w:rsidR="00614AF3" w:rsidRPr="00614AF3" w:rsidRDefault="00614AF3" w:rsidP="001F4277">
      <w:pPr>
        <w:pStyle w:val="Heading3"/>
        <w:spacing w:line="360" w:lineRule="auto"/>
      </w:pPr>
      <w:r w:rsidRPr="00614AF3">
        <w:t>7. Provision of government owned motor vehicles</w:t>
      </w:r>
    </w:p>
    <w:p w14:paraId="25FAFC63" w14:textId="0ECD031D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7.1 Subject to clause 7.2, unless otherwise determined by the relevant authority, executives will be</w:t>
      </w:r>
      <w:r w:rsidR="00410E1B">
        <w:t xml:space="preserve"> </w:t>
      </w:r>
      <w:r w:rsidRPr="00614AF3">
        <w:t>provided with an executive vehicle allowance as part of their remuneration package.</w:t>
      </w:r>
    </w:p>
    <w:p w14:paraId="1717279F" w14:textId="1F609BB8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lastRenderedPageBreak/>
        <w:t>7.2 Executives who, as at the effective date of this directive, have purchased the private use</w:t>
      </w:r>
      <w:r w:rsidR="00410E1B">
        <w:t xml:space="preserve"> </w:t>
      </w:r>
      <w:r w:rsidRPr="00614AF3">
        <w:t>component of a government owned motor vehicle as part of their remuneration package retain this</w:t>
      </w:r>
      <w:r w:rsidR="00410E1B">
        <w:t xml:space="preserve"> </w:t>
      </w:r>
      <w:r w:rsidRPr="00614AF3">
        <w:t>on the terms and conditions set out in this directive until the expiration of the current lease term.</w:t>
      </w:r>
      <w:r w:rsidR="00D648FC">
        <w:t xml:space="preserve"> </w:t>
      </w:r>
      <w:r w:rsidRPr="00614AF3">
        <w:t>Replacement vehicles will not be offered or provided at the end of the lease period.</w:t>
      </w:r>
    </w:p>
    <w:p w14:paraId="578C721F" w14:textId="77777777" w:rsidR="00614AF3" w:rsidRPr="00614AF3" w:rsidRDefault="00614AF3" w:rsidP="001F4277">
      <w:pPr>
        <w:pStyle w:val="Heading3"/>
        <w:spacing w:line="360" w:lineRule="auto"/>
      </w:pPr>
      <w:r w:rsidRPr="00614AF3">
        <w:t>8. Conditions for the provision of an executive vehicle allowance</w:t>
      </w:r>
    </w:p>
    <w:p w14:paraId="4202F17E" w14:textId="77777777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8.1 Where an executive receives an executive vehicle allowance:</w:t>
      </w:r>
    </w:p>
    <w:p w14:paraId="30292FD2" w14:textId="132F727C" w:rsidR="00614AF3" w:rsidRPr="00614AF3" w:rsidRDefault="00614AF3" w:rsidP="001F427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</w:pPr>
      <w:r w:rsidRPr="00614AF3">
        <w:t>the allowance will be included in their regular fortnightly pay but will not be recognised for the</w:t>
      </w:r>
      <w:r w:rsidR="00410E1B">
        <w:t xml:space="preserve"> </w:t>
      </w:r>
      <w:r w:rsidRPr="00614AF3">
        <w:t>purposes of superannuation, annual leave loading or service or separation payments under a</w:t>
      </w:r>
      <w:r w:rsidR="00410E1B">
        <w:t xml:space="preserve"> </w:t>
      </w:r>
      <w:r w:rsidRPr="00614AF3">
        <w:t>contract of employment (excluding the payout of any accrued recreation or long service leave)</w:t>
      </w:r>
    </w:p>
    <w:p w14:paraId="53A61F98" w14:textId="409D8284" w:rsidR="00614AF3" w:rsidRPr="00614AF3" w:rsidRDefault="00614AF3" w:rsidP="001F427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</w:pPr>
      <w:r w:rsidRPr="00614AF3">
        <w:t>they are not eligible for the payment of a motor vehicle allowance under a directive should they</w:t>
      </w:r>
      <w:r w:rsidR="00410E1B">
        <w:t xml:space="preserve"> </w:t>
      </w:r>
      <w:r w:rsidRPr="00614AF3">
        <w:t>use their private vehicle for official business purposes</w:t>
      </w:r>
    </w:p>
    <w:p w14:paraId="37F7F9ED" w14:textId="217D972B" w:rsidR="00614AF3" w:rsidRPr="00614AF3" w:rsidRDefault="00614AF3" w:rsidP="001F427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</w:pPr>
      <w:r w:rsidRPr="00614AF3">
        <w:t>they may be provided with use of an official car park on conditions determined by the chief</w:t>
      </w:r>
      <w:r w:rsidR="00410E1B">
        <w:t xml:space="preserve"> </w:t>
      </w:r>
      <w:r w:rsidRPr="00614AF3">
        <w:t>executive</w:t>
      </w:r>
    </w:p>
    <w:p w14:paraId="3F3BD722" w14:textId="1CF2C66B" w:rsidR="00614AF3" w:rsidRPr="00614AF3" w:rsidRDefault="00614AF3" w:rsidP="001F427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</w:pPr>
      <w:r w:rsidRPr="00614AF3">
        <w:t>and takes leave on half pay, the allowance shall be on half pay</w:t>
      </w:r>
    </w:p>
    <w:p w14:paraId="56FF8530" w14:textId="58F4C27E" w:rsidR="00614AF3" w:rsidRPr="00614AF3" w:rsidRDefault="00614AF3" w:rsidP="001F4277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360" w:lineRule="auto"/>
      </w:pPr>
      <w:proofErr w:type="gramStart"/>
      <w:r w:rsidRPr="00614AF3">
        <w:t>and</w:t>
      </w:r>
      <w:proofErr w:type="gramEnd"/>
      <w:r w:rsidRPr="00614AF3">
        <w:t xml:space="preserve"> takes leave without pay, they will not receive the allowance for the duration of the unpaid</w:t>
      </w:r>
      <w:r w:rsidR="00410E1B">
        <w:t xml:space="preserve"> </w:t>
      </w:r>
      <w:r w:rsidRPr="00614AF3">
        <w:t>leave.</w:t>
      </w:r>
    </w:p>
    <w:p w14:paraId="23A565B8" w14:textId="77777777" w:rsidR="00614AF3" w:rsidRPr="00614AF3" w:rsidRDefault="00614AF3" w:rsidP="001F4277">
      <w:pPr>
        <w:pStyle w:val="Heading3"/>
        <w:spacing w:line="360" w:lineRule="auto"/>
      </w:pPr>
      <w:r w:rsidRPr="00614AF3">
        <w:t>9. Conditions for private use of government owned motor vehicles</w:t>
      </w:r>
    </w:p>
    <w:p w14:paraId="6A6B89D7" w14:textId="7623271B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9.1 Vehicles remain the property of the government and cannot be altered, including unauthorised</w:t>
      </w:r>
      <w:r w:rsidR="00410E1B">
        <w:t xml:space="preserve"> </w:t>
      </w:r>
      <w:r w:rsidRPr="00614AF3">
        <w:t xml:space="preserve">signs or stickers, without the written approval of </w:t>
      </w:r>
      <w:proofErr w:type="spellStart"/>
      <w:r w:rsidRPr="00614AF3">
        <w:t>QFleet</w:t>
      </w:r>
      <w:proofErr w:type="spellEnd"/>
      <w:r w:rsidRPr="00614AF3">
        <w:t>.</w:t>
      </w:r>
    </w:p>
    <w:p w14:paraId="59FF3628" w14:textId="4326C565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9.2 Vehicles are comprehensively insured; any excess on the policy is payable by the executive’s</w:t>
      </w:r>
      <w:r w:rsidR="00410E1B">
        <w:t xml:space="preserve"> </w:t>
      </w:r>
      <w:r w:rsidRPr="00614AF3">
        <w:t>department.</w:t>
      </w:r>
    </w:p>
    <w:p w14:paraId="2ECD74F3" w14:textId="77777777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9.3 Where an executive purchases private use:</w:t>
      </w:r>
    </w:p>
    <w:p w14:paraId="4231C48B" w14:textId="020950B9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the grossed up value will be deducted from the total remuneration package until the</w:t>
      </w:r>
      <w:r w:rsidR="00410E1B">
        <w:t xml:space="preserve"> </w:t>
      </w:r>
      <w:r w:rsidRPr="00614AF3">
        <w:t>expiration of the current lease term</w:t>
      </w:r>
    </w:p>
    <w:p w14:paraId="3EE18497" w14:textId="33E6095E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where the grossed up value is less than their allowance, the difference will be paid to the</w:t>
      </w:r>
      <w:r w:rsidR="00410E1B">
        <w:t xml:space="preserve"> </w:t>
      </w:r>
      <w:r w:rsidRPr="00614AF3">
        <w:t>executive as part of their fortnightly pay but will not be recognised for the purposes of</w:t>
      </w:r>
      <w:r w:rsidR="00410E1B">
        <w:t xml:space="preserve"> </w:t>
      </w:r>
      <w:r w:rsidRPr="00614AF3">
        <w:t>superannuation, annual leave loading or service or separation payments under a contract of</w:t>
      </w:r>
      <w:r w:rsidR="00410E1B">
        <w:t xml:space="preserve"> </w:t>
      </w:r>
      <w:r w:rsidRPr="00614AF3">
        <w:t>employment</w:t>
      </w:r>
    </w:p>
    <w:p w14:paraId="12445004" w14:textId="78E11037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they will be provided with a fuel card for that vehicle, with invoices issued directly to the</w:t>
      </w:r>
      <w:r w:rsidR="00410E1B">
        <w:t xml:space="preserve"> </w:t>
      </w:r>
      <w:r w:rsidRPr="00614AF3">
        <w:t>agency</w:t>
      </w:r>
    </w:p>
    <w:p w14:paraId="61BE5C07" w14:textId="71904DD4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they will be provided with an official car park at the expense of the department</w:t>
      </w:r>
    </w:p>
    <w:p w14:paraId="5EDD69AF" w14:textId="567EC0C4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they must ensure their use of the vehicle is in accordance with any relevant policy</w:t>
      </w:r>
    </w:p>
    <w:p w14:paraId="101539D2" w14:textId="388BA3A4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lastRenderedPageBreak/>
        <w:t>they must make the vehicle available for business use by other employees during normal</w:t>
      </w:r>
      <w:r w:rsidR="00410E1B">
        <w:t xml:space="preserve"> </w:t>
      </w:r>
      <w:r w:rsidRPr="00614AF3">
        <w:t>business hours or during periods of leave without pay (subject to clauses 9.5 and 9.6)</w:t>
      </w:r>
    </w:p>
    <w:p w14:paraId="59CFA276" w14:textId="601B313D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they (or authorised drivers) will be responsible for any penalties, traffic offences and/or</w:t>
      </w:r>
      <w:r w:rsidR="00410E1B">
        <w:t xml:space="preserve"> </w:t>
      </w:r>
      <w:r w:rsidRPr="00614AF3">
        <w:t>payments of fines associated with official and/or private use</w:t>
      </w:r>
    </w:p>
    <w:p w14:paraId="2D7F23DA" w14:textId="223B7248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they may be liable for costs of insurance claims where the comprehensive coverage has</w:t>
      </w:r>
      <w:r w:rsidR="00410E1B">
        <w:t xml:space="preserve"> </w:t>
      </w:r>
      <w:r w:rsidRPr="00614AF3">
        <w:t>been voided</w:t>
      </w:r>
    </w:p>
    <w:p w14:paraId="018F4089" w14:textId="0E6BEC1C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614AF3">
        <w:t>RACQ membership is included in the grossed up value</w:t>
      </w:r>
    </w:p>
    <w:p w14:paraId="747BF723" w14:textId="22FB7536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proofErr w:type="gramStart"/>
      <w:r w:rsidRPr="00614AF3">
        <w:t>and</w:t>
      </w:r>
      <w:proofErr w:type="gramEnd"/>
      <w:r w:rsidRPr="00614AF3">
        <w:t xml:space="preserve"> the vehicle is unavailable through accident or mechanical breakdown, the chief</w:t>
      </w:r>
      <w:r w:rsidR="00410E1B">
        <w:t xml:space="preserve"> </w:t>
      </w:r>
      <w:r w:rsidRPr="00614AF3">
        <w:t>executive may approve, at department cost, the hire of a replacement vehicle. The grossed</w:t>
      </w:r>
      <w:r w:rsidR="00410E1B">
        <w:t xml:space="preserve"> </w:t>
      </w:r>
      <w:r w:rsidRPr="00614AF3">
        <w:t>up value of the executive’s leased vehicle continues to be payable by the executive during</w:t>
      </w:r>
      <w:r w:rsidR="00410E1B">
        <w:t xml:space="preserve"> </w:t>
      </w:r>
      <w:r w:rsidRPr="00614AF3">
        <w:t>such periods</w:t>
      </w:r>
    </w:p>
    <w:p w14:paraId="3A7786C0" w14:textId="6EFE9499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proofErr w:type="gramStart"/>
      <w:r w:rsidRPr="00614AF3">
        <w:t>and</w:t>
      </w:r>
      <w:proofErr w:type="gramEnd"/>
      <w:r w:rsidRPr="00614AF3">
        <w:t xml:space="preserve"> has their license suspended or revoked, the executive will continue to pay the grossed</w:t>
      </w:r>
      <w:r w:rsidR="00410E1B">
        <w:t xml:space="preserve"> </w:t>
      </w:r>
      <w:r w:rsidRPr="00614AF3">
        <w:t>up value until such time as they no longer have access to the vehicle or it is reassigned</w:t>
      </w:r>
      <w:r w:rsidR="00410E1B">
        <w:t xml:space="preserve"> </w:t>
      </w:r>
      <w:r w:rsidRPr="00614AF3">
        <w:t>(whichever is the sooner). Beyond this date they will receive the executive vehicle</w:t>
      </w:r>
      <w:r w:rsidR="00410E1B">
        <w:t xml:space="preserve"> </w:t>
      </w:r>
      <w:r w:rsidRPr="00614AF3">
        <w:t>allowance</w:t>
      </w:r>
    </w:p>
    <w:p w14:paraId="6E57C292" w14:textId="5C3B63CD" w:rsidR="00614AF3" w:rsidRPr="00614AF3" w:rsidRDefault="00614AF3" w:rsidP="001F42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proofErr w:type="gramStart"/>
      <w:r w:rsidRPr="00614AF3">
        <w:t>they</w:t>
      </w:r>
      <w:proofErr w:type="gramEnd"/>
      <w:r w:rsidRPr="00614AF3">
        <w:t xml:space="preserve"> may, at the discretion of the chief executive, purchase the vehicle upon non-renewal of</w:t>
      </w:r>
      <w:r w:rsidR="00410E1B">
        <w:t xml:space="preserve"> </w:t>
      </w:r>
      <w:r w:rsidRPr="00614AF3">
        <w:t>their contract, retirement, resignation or cessation of their current lease arrangement.</w:t>
      </w:r>
      <w:r w:rsidR="00D648FC">
        <w:t xml:space="preserve"> </w:t>
      </w:r>
      <w:r w:rsidRPr="00614AF3">
        <w:t xml:space="preserve">Conditions of purchase are determined by </w:t>
      </w:r>
      <w:proofErr w:type="spellStart"/>
      <w:r w:rsidRPr="00614AF3">
        <w:t>QFleet</w:t>
      </w:r>
      <w:proofErr w:type="spellEnd"/>
      <w:r w:rsidRPr="00614AF3">
        <w:t>.</w:t>
      </w:r>
    </w:p>
    <w:p w14:paraId="72A1CE04" w14:textId="5FC81640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9.4 A part-time executive who purchases private use may, at the discretion of the chief executive,</w:t>
      </w:r>
      <w:r w:rsidR="00410E1B">
        <w:t xml:space="preserve"> </w:t>
      </w:r>
      <w:r w:rsidRPr="00614AF3">
        <w:t>retain use of the government owned motor vehicle on their non-scheduled work days. If this occurs,</w:t>
      </w:r>
      <w:r w:rsidR="00410E1B">
        <w:t xml:space="preserve"> </w:t>
      </w:r>
      <w:r w:rsidRPr="00614AF3">
        <w:t>the executive will be required to contribute the full grossed up value of the vehicle, even where this</w:t>
      </w:r>
      <w:r w:rsidR="00410E1B">
        <w:t xml:space="preserve"> </w:t>
      </w:r>
      <w:r w:rsidRPr="00614AF3">
        <w:t>exceeds their executive vehicle allowance.</w:t>
      </w:r>
    </w:p>
    <w:p w14:paraId="1BD37305" w14:textId="1EB906FE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9.5 An executive will generally retain private use of the motor vehicle during periods of paid leave up to</w:t>
      </w:r>
      <w:r w:rsidR="00410E1B">
        <w:t xml:space="preserve"> </w:t>
      </w:r>
      <w:r w:rsidRPr="00614AF3">
        <w:t>eight weeks;</w:t>
      </w:r>
    </w:p>
    <w:p w14:paraId="31CDABD7" w14:textId="4F86798B" w:rsidR="00614AF3" w:rsidRPr="00614AF3" w:rsidRDefault="00614AF3" w:rsidP="001F42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 w:rsidRPr="00614AF3">
        <w:t>if the executive retains private use they will continue to pay the grossed up value during this</w:t>
      </w:r>
      <w:r w:rsidR="00410E1B">
        <w:t xml:space="preserve"> </w:t>
      </w:r>
      <w:r w:rsidRPr="00614AF3">
        <w:t>period;</w:t>
      </w:r>
    </w:p>
    <w:p w14:paraId="24313414" w14:textId="73A8DEDF" w:rsidR="00614AF3" w:rsidRPr="00614AF3" w:rsidRDefault="00614AF3" w:rsidP="001F42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proofErr w:type="gramStart"/>
      <w:r w:rsidRPr="00614AF3">
        <w:t>if</w:t>
      </w:r>
      <w:proofErr w:type="gramEnd"/>
      <w:r w:rsidRPr="00614AF3">
        <w:t xml:space="preserve"> the executive does not retain private use they will not be required to pay the grossed up</w:t>
      </w:r>
      <w:r w:rsidR="00410E1B">
        <w:t xml:space="preserve"> </w:t>
      </w:r>
      <w:r w:rsidRPr="00614AF3">
        <w:t>value and will receive the executive vehicle allowance as part of their fortnightly pay during</w:t>
      </w:r>
      <w:r w:rsidR="00410E1B">
        <w:t xml:space="preserve"> </w:t>
      </w:r>
      <w:r w:rsidRPr="00614AF3">
        <w:t>this period.</w:t>
      </w:r>
    </w:p>
    <w:p w14:paraId="4B8806A3" w14:textId="2314269C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9.6 If paid leave exceeds eight weeks, the chief executive must determine the official need for the</w:t>
      </w:r>
      <w:r w:rsidR="00410E1B">
        <w:t xml:space="preserve"> </w:t>
      </w:r>
      <w:r w:rsidRPr="00614AF3">
        <w:t>vehicle during the executive’s absence. Where the chief executive determines an official need for</w:t>
      </w:r>
      <w:r w:rsidR="00410E1B">
        <w:t xml:space="preserve"> </w:t>
      </w:r>
      <w:r w:rsidRPr="00614AF3">
        <w:t>the vehicle the executive will not be required to pay the grossed up value and will receive the</w:t>
      </w:r>
      <w:r w:rsidR="00410E1B">
        <w:t xml:space="preserve"> </w:t>
      </w:r>
      <w:r w:rsidRPr="00614AF3">
        <w:t>executive vehicle allowance as part of their fortnightly pay during this period.</w:t>
      </w:r>
    </w:p>
    <w:p w14:paraId="1B1BA7E8" w14:textId="1C6F10B4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9.7 Where an executive who has purchased private use is terminated or their contract not renewed,</w:t>
      </w:r>
      <w:r w:rsidR="00410E1B">
        <w:t xml:space="preserve"> </w:t>
      </w:r>
      <w:r w:rsidRPr="00614AF3">
        <w:t>the amount of the executive vehicle allowance applicable to their role will be recognised for the</w:t>
      </w:r>
      <w:r w:rsidR="00410E1B">
        <w:t xml:space="preserve"> </w:t>
      </w:r>
      <w:r w:rsidRPr="00614AF3">
        <w:t>purposes of determining the payout of any accrued recreation or long service leave.</w:t>
      </w:r>
    </w:p>
    <w:p w14:paraId="0F053F75" w14:textId="77777777" w:rsidR="00614AF3" w:rsidRPr="00614AF3" w:rsidRDefault="00614AF3" w:rsidP="001F4277">
      <w:pPr>
        <w:pStyle w:val="Heading3"/>
        <w:spacing w:line="360" w:lineRule="auto"/>
      </w:pPr>
      <w:r w:rsidRPr="00614AF3">
        <w:lastRenderedPageBreak/>
        <w:t>10. References to chief executives</w:t>
      </w:r>
    </w:p>
    <w:p w14:paraId="4863F368" w14:textId="13CDE6C7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10.1 Where a decision relates to the chief executive (as an executive covered by this directive), the</w:t>
      </w:r>
      <w:r w:rsidR="00410E1B">
        <w:t xml:space="preserve"> </w:t>
      </w:r>
      <w:r w:rsidRPr="00614AF3">
        <w:t>decision may be made by the Commission Chief Executive (CCE) of the Public Service</w:t>
      </w:r>
      <w:r w:rsidR="00410E1B">
        <w:t xml:space="preserve"> </w:t>
      </w:r>
      <w:r w:rsidRPr="00614AF3">
        <w:t>Commission (PSC), or in the case of the CCE, the Director-General of the Department of the</w:t>
      </w:r>
      <w:r w:rsidR="00410E1B">
        <w:t xml:space="preserve"> </w:t>
      </w:r>
      <w:r w:rsidRPr="00614AF3">
        <w:t>Premier and Cabinet.</w:t>
      </w:r>
    </w:p>
    <w:p w14:paraId="3D7DB3C6" w14:textId="77777777" w:rsidR="00614AF3" w:rsidRPr="00614AF3" w:rsidRDefault="00614AF3" w:rsidP="001F4277">
      <w:pPr>
        <w:pStyle w:val="Heading3"/>
        <w:spacing w:line="360" w:lineRule="auto"/>
      </w:pPr>
      <w:r w:rsidRPr="00614AF3">
        <w:t>11. Dictionary</w:t>
      </w:r>
    </w:p>
    <w:p w14:paraId="1A66885A" w14:textId="77777777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>For the purpose of this directive, unless otherwise provided, the definitions contained in the PSA apply.</w:t>
      </w:r>
    </w:p>
    <w:p w14:paraId="3C071D00" w14:textId="7567607E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rPr>
          <w:b/>
        </w:rPr>
        <w:t>Executive</w:t>
      </w:r>
      <w:r w:rsidRPr="00614AF3">
        <w:t xml:space="preserve"> means chief and senior executive service officers and officers employed on fixed term</w:t>
      </w:r>
      <w:r w:rsidR="00410E1B">
        <w:t xml:space="preserve"> </w:t>
      </w:r>
      <w:r w:rsidRPr="00614AF3">
        <w:t>contracts of employment who receive an EVA as part of their remuneration package.</w:t>
      </w:r>
    </w:p>
    <w:p w14:paraId="3D638E3F" w14:textId="0A077299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rPr>
          <w:b/>
        </w:rPr>
        <w:t>Executive Vehicle Allowance (EVA)</w:t>
      </w:r>
      <w:r w:rsidRPr="00614AF3">
        <w:t xml:space="preserve"> means the annual maximum vehicle cost, applicable to the</w:t>
      </w:r>
      <w:r w:rsidR="00410E1B">
        <w:t xml:space="preserve"> </w:t>
      </w:r>
      <w:r w:rsidRPr="00614AF3">
        <w:t>executive’s classification level, as determined by the appropriate authority. The EVA forms part of the</w:t>
      </w:r>
      <w:r w:rsidR="00410E1B">
        <w:t xml:space="preserve"> </w:t>
      </w:r>
      <w:r w:rsidRPr="00614AF3">
        <w:t xml:space="preserve">executive’s remuneration package, but is not part of their </w:t>
      </w:r>
      <w:proofErr w:type="spellStart"/>
      <w:r w:rsidRPr="00614AF3">
        <w:t>superannuable</w:t>
      </w:r>
      <w:proofErr w:type="spellEnd"/>
      <w:r w:rsidRPr="00614AF3">
        <w:t xml:space="preserve"> salary. Executives who work</w:t>
      </w:r>
      <w:r w:rsidR="00410E1B">
        <w:t xml:space="preserve"> </w:t>
      </w:r>
      <w:r w:rsidRPr="00614AF3">
        <w:t>part-time are entitled to the EVA on a pro-rata basis. An executive may receive a partial EVA where they</w:t>
      </w:r>
      <w:r w:rsidR="00410E1B">
        <w:t xml:space="preserve"> </w:t>
      </w:r>
      <w:r w:rsidRPr="00614AF3">
        <w:t>have purchased private use of a government owned motor vehicle and the GUV of such is less than the</w:t>
      </w:r>
      <w:r w:rsidR="00410E1B">
        <w:t xml:space="preserve"> </w:t>
      </w:r>
      <w:r w:rsidRPr="00614AF3">
        <w:t>EVA applicable to the executive’s classification level.</w:t>
      </w:r>
    </w:p>
    <w:p w14:paraId="7BDCFD1A" w14:textId="2152C3FC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rPr>
          <w:b/>
        </w:rPr>
        <w:t xml:space="preserve">Grossed </w:t>
      </w:r>
      <w:proofErr w:type="gramStart"/>
      <w:r w:rsidRPr="00614AF3">
        <w:rPr>
          <w:b/>
        </w:rPr>
        <w:t>Up</w:t>
      </w:r>
      <w:proofErr w:type="gramEnd"/>
      <w:r w:rsidRPr="00614AF3">
        <w:rPr>
          <w:b/>
        </w:rPr>
        <w:t xml:space="preserve"> Value (GUV)</w:t>
      </w:r>
      <w:r w:rsidRPr="00614AF3">
        <w:t xml:space="preserve"> means the total annual value, including any adjustments, that will be deducted</w:t>
      </w:r>
      <w:r w:rsidR="00410E1B">
        <w:t xml:space="preserve"> </w:t>
      </w:r>
      <w:r w:rsidRPr="00614AF3">
        <w:t>from the executive’s remuneration package for the access of a fully maintained government owned motor</w:t>
      </w:r>
      <w:r w:rsidR="00410E1B">
        <w:t xml:space="preserve"> </w:t>
      </w:r>
      <w:r w:rsidRPr="00614AF3">
        <w:t>vehicle for business and private use.</w:t>
      </w:r>
    </w:p>
    <w:p w14:paraId="1B257867" w14:textId="3B07AD77" w:rsidR="00614AF3" w:rsidRPr="00614AF3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rPr>
          <w:b/>
        </w:rPr>
        <w:t>Private use</w:t>
      </w:r>
      <w:r w:rsidRPr="00614AF3">
        <w:t xml:space="preserve"> means the use of a fully maintained government owned motor vehicle by an executive as part</w:t>
      </w:r>
      <w:r w:rsidR="00410E1B">
        <w:t xml:space="preserve"> </w:t>
      </w:r>
      <w:r w:rsidRPr="00614AF3">
        <w:t>of their remuneration package including:</w:t>
      </w:r>
    </w:p>
    <w:p w14:paraId="27172B18" w14:textId="1F67A8E7" w:rsidR="00614AF3" w:rsidRPr="00614AF3" w:rsidRDefault="00614AF3" w:rsidP="001F427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14AF3">
        <w:t>travelling to and from the executive’s place of work, after hours use and during periods of paid</w:t>
      </w:r>
      <w:r w:rsidR="00410E1B">
        <w:t xml:space="preserve"> </w:t>
      </w:r>
      <w:r w:rsidRPr="00614AF3">
        <w:t>leave; and</w:t>
      </w:r>
    </w:p>
    <w:p w14:paraId="3DE3FB91" w14:textId="6A527D42" w:rsidR="00614AF3" w:rsidRPr="00614AF3" w:rsidRDefault="00614AF3" w:rsidP="001F427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proofErr w:type="gramStart"/>
      <w:r w:rsidRPr="00614AF3">
        <w:t>the</w:t>
      </w:r>
      <w:proofErr w:type="gramEnd"/>
      <w:r w:rsidRPr="00614AF3">
        <w:t xml:space="preserve"> vehicle being driven by any responsible licensed person including immediate family (at the</w:t>
      </w:r>
      <w:r w:rsidR="00410E1B">
        <w:t xml:space="preserve"> </w:t>
      </w:r>
      <w:r w:rsidRPr="00614AF3">
        <w:t>executive’s discretion).</w:t>
      </w:r>
    </w:p>
    <w:p w14:paraId="7A550917" w14:textId="5EF8B792" w:rsidR="00095345" w:rsidRDefault="00614AF3" w:rsidP="001F4277">
      <w:pPr>
        <w:autoSpaceDE w:val="0"/>
        <w:autoSpaceDN w:val="0"/>
        <w:adjustRightInd w:val="0"/>
        <w:spacing w:before="120" w:after="120" w:line="360" w:lineRule="auto"/>
      </w:pPr>
      <w:r w:rsidRPr="00614AF3">
        <w:t xml:space="preserve">Private use does </w:t>
      </w:r>
      <w:r w:rsidRPr="00614AF3">
        <w:rPr>
          <w:b/>
        </w:rPr>
        <w:t>not</w:t>
      </w:r>
      <w:r w:rsidRPr="00614AF3">
        <w:t xml:space="preserve"> include the executive or any other person conducting private business ventures or</w:t>
      </w:r>
      <w:r w:rsidR="00410E1B">
        <w:t xml:space="preserve"> </w:t>
      </w:r>
      <w:r w:rsidRPr="00614AF3">
        <w:t>commercial activity of any description.</w:t>
      </w:r>
      <w:bookmarkEnd w:id="0"/>
      <w:bookmarkEnd w:id="1"/>
    </w:p>
    <w:sectPr w:rsidR="00095345" w:rsidSect="00C5444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EDF9" w14:textId="77777777" w:rsidR="00DD7E1C" w:rsidRDefault="00DD7E1C" w:rsidP="002C39DD">
      <w:r>
        <w:separator/>
      </w:r>
    </w:p>
    <w:p w14:paraId="4C212EEA" w14:textId="77777777" w:rsidR="00DD7E1C" w:rsidRDefault="00DD7E1C" w:rsidP="002C39DD"/>
    <w:p w14:paraId="3011AF76" w14:textId="77777777" w:rsidR="00DD7E1C" w:rsidRDefault="00DD7E1C" w:rsidP="002C39DD"/>
    <w:p w14:paraId="3184FD49" w14:textId="77777777" w:rsidR="00DD7E1C" w:rsidRDefault="00DD7E1C" w:rsidP="002C39DD"/>
    <w:p w14:paraId="55F5B4EE" w14:textId="77777777" w:rsidR="00DD7E1C" w:rsidRDefault="00DD7E1C"/>
    <w:p w14:paraId="4E2AFF61" w14:textId="77777777" w:rsidR="00DD7E1C" w:rsidRDefault="00DD7E1C"/>
  </w:endnote>
  <w:endnote w:type="continuationSeparator" w:id="0">
    <w:p w14:paraId="623030A7" w14:textId="77777777" w:rsidR="00DD7E1C" w:rsidRDefault="00DD7E1C" w:rsidP="002C39DD">
      <w:r>
        <w:continuationSeparator/>
      </w:r>
    </w:p>
    <w:p w14:paraId="6DC76B8E" w14:textId="77777777" w:rsidR="00DD7E1C" w:rsidRDefault="00DD7E1C" w:rsidP="002C39DD"/>
    <w:p w14:paraId="16760E37" w14:textId="77777777" w:rsidR="00DD7E1C" w:rsidRDefault="00DD7E1C" w:rsidP="002C39DD"/>
    <w:p w14:paraId="4A0C0F8C" w14:textId="77777777" w:rsidR="00DD7E1C" w:rsidRDefault="00DD7E1C" w:rsidP="002C39DD"/>
    <w:p w14:paraId="4BBD5735" w14:textId="77777777" w:rsidR="00DD7E1C" w:rsidRDefault="00DD7E1C"/>
    <w:p w14:paraId="39C774EE" w14:textId="77777777" w:rsidR="00DD7E1C" w:rsidRDefault="00DD7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D8B5" w14:textId="77777777" w:rsidR="003B707D" w:rsidRDefault="003B707D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4"/>
      <w:gridCol w:w="1299"/>
    </w:tblGrid>
    <w:tr w:rsidR="003B707D" w:rsidRPr="00933F6B" w14:paraId="2B1C80D9" w14:textId="77777777" w:rsidTr="005C4352">
      <w:tc>
        <w:tcPr>
          <w:tcW w:w="9348" w:type="dxa"/>
          <w:vAlign w:val="bottom"/>
        </w:tcPr>
        <w:p w14:paraId="40E17497" w14:textId="718A9E81" w:rsidR="003B707D" w:rsidRPr="00933F6B" w:rsidRDefault="0069222C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vAlign w:val="bottom"/>
        </w:tcPr>
        <w:p w14:paraId="2442A0B8" w14:textId="21F960B7" w:rsidR="003B707D" w:rsidRPr="00933F6B" w:rsidRDefault="003B707D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E61948">
            <w:rPr>
              <w:noProof/>
            </w:rPr>
            <w:t>4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7F87BBAD" w14:textId="77777777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D5B1" w14:textId="04A079B7" w:rsidR="003B707D" w:rsidRDefault="009F747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5C1718" wp14:editId="2ED0357B">
          <wp:simplePos x="0" y="0"/>
          <wp:positionH relativeFrom="page">
            <wp:posOffset>13970</wp:posOffset>
          </wp:positionH>
          <wp:positionV relativeFrom="page">
            <wp:posOffset>9547860</wp:posOffset>
          </wp:positionV>
          <wp:extent cx="7560310" cy="1144905"/>
          <wp:effectExtent l="0" t="0" r="2540" b="0"/>
          <wp:wrapNone/>
          <wp:docPr id="15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3AD23" w14:textId="77777777" w:rsidR="003B707D" w:rsidRDefault="003B707D">
    <w:pPr>
      <w:pStyle w:val="Footer"/>
    </w:pPr>
  </w:p>
  <w:p w14:paraId="4425D648" w14:textId="77777777" w:rsidR="003B707D" w:rsidRDefault="003B707D">
    <w:pPr>
      <w:pStyle w:val="Footer"/>
    </w:pPr>
  </w:p>
  <w:p w14:paraId="7A9A5554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B452" w14:textId="77777777" w:rsidR="00DD7E1C" w:rsidRDefault="00DD7E1C" w:rsidP="002C39DD">
      <w:r>
        <w:separator/>
      </w:r>
    </w:p>
    <w:p w14:paraId="37F888D4" w14:textId="77777777" w:rsidR="00DD7E1C" w:rsidRDefault="00DD7E1C"/>
  </w:footnote>
  <w:footnote w:type="continuationSeparator" w:id="0">
    <w:p w14:paraId="7E9E8588" w14:textId="77777777" w:rsidR="00DD7E1C" w:rsidRDefault="00DD7E1C" w:rsidP="002C39DD">
      <w:r>
        <w:continuationSeparator/>
      </w:r>
    </w:p>
    <w:p w14:paraId="2275ACFE" w14:textId="77777777" w:rsidR="00DD7E1C" w:rsidRDefault="00DD7E1C" w:rsidP="002C39DD"/>
    <w:p w14:paraId="177A460C" w14:textId="77777777" w:rsidR="00DD7E1C" w:rsidRDefault="00DD7E1C" w:rsidP="002C39DD"/>
    <w:p w14:paraId="48DDEF8F" w14:textId="77777777" w:rsidR="00DD7E1C" w:rsidRDefault="00DD7E1C" w:rsidP="002C39DD"/>
    <w:p w14:paraId="053C1972" w14:textId="77777777" w:rsidR="00DD7E1C" w:rsidRDefault="00DD7E1C"/>
    <w:p w14:paraId="6DA8CB61" w14:textId="77777777" w:rsidR="00DD7E1C" w:rsidRDefault="00DD7E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C443" w14:textId="77777777" w:rsidR="00D91BE3" w:rsidRPr="00F02B8C" w:rsidRDefault="00D91BE3" w:rsidP="00D91BE3">
    <w:pPr>
      <w:rPr>
        <w:sz w:val="4"/>
      </w:rPr>
    </w:pPr>
  </w:p>
  <w:p w14:paraId="152DF4BE" w14:textId="47438880" w:rsidR="00D91BE3" w:rsidRPr="006108C5" w:rsidRDefault="009F7472" w:rsidP="00D91BE3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F4B2F" wp14:editId="174182CC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1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330F" w14:textId="5DC488CD" w:rsidR="00DF5031" w:rsidRDefault="009F74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4256A" wp14:editId="0BE7FC3E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15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96F6EF5"/>
    <w:multiLevelType w:val="hybridMultilevel"/>
    <w:tmpl w:val="3C8E7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C6E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6406"/>
    <w:multiLevelType w:val="hybridMultilevel"/>
    <w:tmpl w:val="C1B86C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3A691F72"/>
    <w:multiLevelType w:val="hybridMultilevel"/>
    <w:tmpl w:val="B2A298B4"/>
    <w:lvl w:ilvl="0" w:tplc="959AB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9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0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1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D6F139D"/>
    <w:multiLevelType w:val="hybridMultilevel"/>
    <w:tmpl w:val="5344EB68"/>
    <w:lvl w:ilvl="0" w:tplc="959AB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6687A"/>
    <w:multiLevelType w:val="hybridMultilevel"/>
    <w:tmpl w:val="D89C8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832"/>
    <w:multiLevelType w:val="hybridMultilevel"/>
    <w:tmpl w:val="557CF992"/>
    <w:lvl w:ilvl="0" w:tplc="959AB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6"/>
  </w:num>
  <w:num w:numId="5">
    <w:abstractNumId w:val="8"/>
  </w:num>
  <w:num w:numId="6">
    <w:abstractNumId w:val="2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0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6"/>
  </w:num>
  <w:num w:numId="28">
    <w:abstractNumId w:val="18"/>
  </w:num>
  <w:num w:numId="29">
    <w:abstractNumId w:val="13"/>
  </w:num>
  <w:num w:numId="30">
    <w:abstractNumId w:val="27"/>
  </w:num>
  <w:num w:numId="31">
    <w:abstractNumId w:val="11"/>
  </w:num>
  <w:num w:numId="32">
    <w:abstractNumId w:val="10"/>
  </w:num>
  <w:num w:numId="33">
    <w:abstractNumId w:val="14"/>
  </w:num>
  <w:num w:numId="34">
    <w:abstractNumId w:val="23"/>
  </w:num>
  <w:num w:numId="35">
    <w:abstractNumId w:val="25"/>
  </w:num>
  <w:num w:numId="3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2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5345"/>
    <w:rsid w:val="00096563"/>
    <w:rsid w:val="000972D2"/>
    <w:rsid w:val="000A2824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277"/>
    <w:rsid w:val="001F49FF"/>
    <w:rsid w:val="00200894"/>
    <w:rsid w:val="0020353B"/>
    <w:rsid w:val="00204C07"/>
    <w:rsid w:val="00205425"/>
    <w:rsid w:val="00205692"/>
    <w:rsid w:val="002057C4"/>
    <w:rsid w:val="002062AB"/>
    <w:rsid w:val="00207EBD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1B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4AF3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9222C"/>
    <w:rsid w:val="00695A11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B12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5E7C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55EA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77AFA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570E4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48FC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D7E1C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1948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1DCB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1074928"/>
  <w15:chartTrackingRefBased/>
  <w15:docId w15:val="{D47FE60C-159E-48AA-94AD-AC5930F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A555EA"/>
    <w:pPr>
      <w:keepNext/>
      <w:spacing w:before="12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 w:after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Default">
    <w:name w:val="Default"/>
    <w:rsid w:val="006F1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F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18A7-CE98-4C8E-83D1-623AAE1C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62915-6782-4977-AE63-1FF65139CBC6}">
  <ds:schemaRefs>
    <ds:schemaRef ds:uri="http://purl.org/dc/terms/"/>
    <ds:schemaRef ds:uri="http://schemas.openxmlformats.org/package/2006/metadata/core-properties"/>
    <ds:schemaRef ds:uri="0303becd-d999-4b18-bd4d-d2e9f8940f0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303455-0690-4fc8-a6f1-b969d4549f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90C5A4-55CF-4028-8704-2F3C7BAA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1300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Manager/>
  <Company>Public Service Commission, Queensland Government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No. 13/13 - Executive Remuneration Package – Motor Vehicles and Allowances</dc:title>
  <dc:subject>DIRECTIVE No. 13/13 - Executive Remuneration Package – Motor Vehicles and Allowances</dc:subject>
  <dc:creator>Public Service Commission;Queensland Government</dc:creator>
  <cp:keywords>DIRECTIVE No. 13/13 - Executive Remuneration Package – Motor Vehicles and Allowances</cp:keywords>
  <dc:description>DIRECTIVE No. 13/13 - Executive Remuneration Package – Motor Vehicles and Allowances</dc:description>
  <cp:lastModifiedBy>Ben Toussaint</cp:lastModifiedBy>
  <cp:revision>2</cp:revision>
  <cp:lastPrinted>2017-04-06T05:11:00Z</cp:lastPrinted>
  <dcterms:created xsi:type="dcterms:W3CDTF">2017-04-20T00:49:00Z</dcterms:created>
  <dcterms:modified xsi:type="dcterms:W3CDTF">2017-04-20T00:49:00Z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