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6A6213" w:rsidP="00384FEB">
      <w:pPr>
        <w:pStyle w:val="Titlepageheading"/>
        <w:pBdr>
          <w:bottom w:val="none" w:sz="0" w:space="0" w:color="auto"/>
        </w:pBdr>
        <w:spacing w:before="240"/>
      </w:pPr>
      <w:r>
        <w:t>Federated identity blueprint</w:t>
      </w:r>
    </w:p>
    <w:p w:rsidR="00A049F6" w:rsidRPr="00384FEB" w:rsidRDefault="006A6213" w:rsidP="00766CCB">
      <w:pPr>
        <w:rPr>
          <w:sz w:val="30"/>
          <w:szCs w:val="30"/>
        </w:rPr>
      </w:pPr>
      <w:r>
        <w:rPr>
          <w:sz w:val="30"/>
          <w:szCs w:val="30"/>
        </w:rPr>
        <w:t>Overview</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6A6213" w:rsidP="00384FEB">
      <w:pPr>
        <w:pStyle w:val="TitlePageOptionalTextLine"/>
        <w:spacing w:before="180" w:after="60" w:line="264" w:lineRule="auto"/>
        <w:rPr>
          <w:color w:val="595959"/>
        </w:rPr>
      </w:pPr>
      <w:r>
        <w:rPr>
          <w:color w:val="336699"/>
        </w:rPr>
        <w:t>Final</w:t>
      </w:r>
    </w:p>
    <w:p w:rsidR="003E716D" w:rsidRPr="00384FEB" w:rsidRDefault="006A6213" w:rsidP="00384FEB">
      <w:pPr>
        <w:spacing w:before="180" w:after="60" w:line="264" w:lineRule="auto"/>
        <w:rPr>
          <w:color w:val="336699"/>
          <w:sz w:val="30"/>
          <w:szCs w:val="24"/>
        </w:rPr>
      </w:pPr>
      <w:r>
        <w:rPr>
          <w:color w:val="336699"/>
          <w:sz w:val="30"/>
          <w:szCs w:val="24"/>
        </w:rPr>
        <w:t>May 2017</w:t>
      </w:r>
    </w:p>
    <w:p w:rsidR="00A049F6" w:rsidRPr="00384FEB" w:rsidRDefault="006A6213" w:rsidP="00384FEB">
      <w:pPr>
        <w:spacing w:before="180" w:after="60" w:line="264" w:lineRule="auto"/>
        <w:rPr>
          <w:color w:val="336699"/>
          <w:sz w:val="30"/>
          <w:szCs w:val="24"/>
        </w:rPr>
      </w:pPr>
      <w:r>
        <w:rPr>
          <w:color w:val="336699"/>
          <w:sz w:val="30"/>
          <w:szCs w:val="24"/>
        </w:rPr>
        <w:t>V1.0.0</w:t>
      </w:r>
    </w:p>
    <w:p w:rsidR="00EF2086" w:rsidRPr="009142A2" w:rsidRDefault="00EF2086" w:rsidP="006517B2">
      <w:pPr>
        <w:spacing w:before="360" w:after="240" w:line="264" w:lineRule="auto"/>
      </w:pPr>
    </w:p>
    <w:p w:rsidR="00EF2086" w:rsidRPr="00384FEB" w:rsidRDefault="006A6213"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6A6213"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6A6213"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6A6213"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3211EA"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6A6213" w:rsidP="006517B2">
      <w:pPr>
        <w:pStyle w:val="Bodystylefordocumentdetails"/>
      </w:pPr>
      <w:r w:rsidRPr="008B293E">
        <w:t>Queensland Government Chief Information Office</w:t>
      </w:r>
      <w:r w:rsidR="007861C3" w:rsidRPr="008B293E">
        <w:rPr>
          <w:highlight w:val="yellow"/>
        </w:rPr>
        <w:br/>
      </w:r>
      <w:hyperlink r:id="rId8" w:history="1">
        <w:r w:rsidRPr="00090B1A">
          <w:rPr>
            <w:rStyle w:val="Hyperlink"/>
          </w:rPr>
          <w:t>qgcio@qgcio.qld.gov.au</w:t>
        </w:r>
      </w:hyperlink>
      <w:r>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6A6213">
        <w:rPr>
          <w:i/>
        </w:rPr>
        <w:t>Fe</w:t>
      </w:r>
      <w:r w:rsidR="003211EA">
        <w:rPr>
          <w:i/>
        </w:rPr>
        <w:t xml:space="preserve">derated identity blueprint - </w:t>
      </w:r>
      <w:r w:rsidR="006A6213">
        <w:rPr>
          <w:i/>
        </w:rPr>
        <w:t>Overview</w:t>
      </w:r>
      <w:r w:rsidR="00754C94">
        <w:rPr>
          <w:i/>
        </w:rPr>
        <w:t xml:space="preserve"> </w:t>
      </w:r>
      <w:r w:rsidRPr="00C40C29">
        <w:t xml:space="preserve">was developed and updated by </w:t>
      </w:r>
      <w:r w:rsidR="006A6213" w:rsidRPr="008B293E">
        <w:t>Queensland Government Chief Information Office</w:t>
      </w:r>
      <w:r w:rsidRPr="00C40C29">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3211EA" w:rsidP="006517B2">
      <w:pPr>
        <w:pStyle w:val="Bodystylefordocumentdetails"/>
      </w:pPr>
      <w:r>
        <w:rPr>
          <w:i/>
        </w:rPr>
        <w:t>Federated identity blueprint - Overview</w:t>
      </w:r>
    </w:p>
    <w:p w:rsidR="00C40C29" w:rsidRPr="00FB5186" w:rsidRDefault="00C40C29" w:rsidP="006517B2">
      <w:pPr>
        <w:pStyle w:val="Bodystylefordocumentdetails"/>
      </w:pPr>
      <w:r w:rsidRPr="00FB5186">
        <w:t>Copyright © The State of Queensland (</w:t>
      </w:r>
      <w:r w:rsidR="006C7E44">
        <w:t>Queensland Government Chief Information Office</w:t>
      </w:r>
      <w:r w:rsidRPr="00FB5186">
        <w:t>)</w:t>
      </w:r>
      <w:r w:rsidR="00013A6E">
        <w:t xml:space="preserve"> </w:t>
      </w:r>
      <w:r w:rsidR="00FC066D">
        <w:t>20</w:t>
      </w:r>
      <w:r w:rsidR="00754C94">
        <w:t>1</w:t>
      </w:r>
      <w:r w:rsidR="006C7E44">
        <w:t>7</w:t>
      </w:r>
    </w:p>
    <w:p w:rsidR="007A3856" w:rsidRPr="00831408" w:rsidRDefault="007A3856" w:rsidP="00B12183">
      <w:pPr>
        <w:pStyle w:val="Heading2nonumber"/>
      </w:pPr>
      <w:r w:rsidRPr="00831408">
        <w:t>Licence</w:t>
      </w:r>
    </w:p>
    <w:p w:rsidR="006A6213" w:rsidRDefault="006A6213" w:rsidP="006A6213">
      <w:pPr>
        <w:pStyle w:val="Bodystylefordocumentdetails"/>
      </w:pPr>
      <w:r>
        <w:rPr>
          <w:noProof/>
        </w:rPr>
        <w:drawing>
          <wp:inline distT="0" distB="0" distL="0" distR="0" wp14:anchorId="48CD1CEE" wp14:editId="7FDBC13B">
            <wp:extent cx="869950" cy="304800"/>
            <wp:effectExtent l="0" t="0" r="6350" b="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t xml:space="preserve">   </w:t>
      </w:r>
    </w:p>
    <w:p w:rsidR="006A6213" w:rsidRPr="001328B5" w:rsidRDefault="006A6213" w:rsidP="006A6213">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6A6213" w:rsidRDefault="006A6213" w:rsidP="006A6213">
      <w:pPr>
        <w:pStyle w:val="BodyText"/>
        <w:ind w:left="0"/>
        <w:rPr>
          <w:szCs w:val="22"/>
        </w:rPr>
      </w:pPr>
      <w:r w:rsidRPr="00750438">
        <w:rPr>
          <w:szCs w:val="22"/>
        </w:rPr>
        <w:t xml:space="preserve">To attribute this material, cite the Queensland Government Chief Information Office. </w:t>
      </w:r>
    </w:p>
    <w:p w:rsidR="006A6213" w:rsidRDefault="006A6213" w:rsidP="006A6213">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6A6213">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rsidR="003211EA"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84085278" w:history="1">
        <w:r w:rsidR="003211EA" w:rsidRPr="00045374">
          <w:rPr>
            <w:rStyle w:val="Hyperlink"/>
          </w:rPr>
          <w:t>1</w:t>
        </w:r>
        <w:r w:rsidR="003211EA">
          <w:rPr>
            <w:rFonts w:asciiTheme="minorHAnsi" w:eastAsiaTheme="minorEastAsia" w:hAnsiTheme="minorHAnsi" w:cstheme="minorBidi"/>
            <w:b w:val="0"/>
            <w:snapToGrid/>
            <w:kern w:val="0"/>
            <w:szCs w:val="22"/>
          </w:rPr>
          <w:tab/>
        </w:r>
        <w:r w:rsidR="003211EA" w:rsidRPr="00045374">
          <w:rPr>
            <w:rStyle w:val="Hyperlink"/>
          </w:rPr>
          <w:t>Introduction</w:t>
        </w:r>
        <w:r w:rsidR="003211EA">
          <w:rPr>
            <w:webHidden/>
          </w:rPr>
          <w:tab/>
        </w:r>
        <w:r w:rsidR="003211EA">
          <w:rPr>
            <w:webHidden/>
          </w:rPr>
          <w:fldChar w:fldCharType="begin"/>
        </w:r>
        <w:r w:rsidR="003211EA">
          <w:rPr>
            <w:webHidden/>
          </w:rPr>
          <w:instrText xml:space="preserve"> PAGEREF _Toc484085278 \h </w:instrText>
        </w:r>
        <w:r w:rsidR="003211EA">
          <w:rPr>
            <w:webHidden/>
          </w:rPr>
        </w:r>
        <w:r w:rsidR="003211EA">
          <w:rPr>
            <w:webHidden/>
          </w:rPr>
          <w:fldChar w:fldCharType="separate"/>
        </w:r>
        <w:r w:rsidR="003211EA">
          <w:rPr>
            <w:webHidden/>
          </w:rPr>
          <w:t>4</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79" w:history="1">
        <w:r w:rsidR="003211EA" w:rsidRPr="00045374">
          <w:rPr>
            <w:rStyle w:val="Hyperlink"/>
          </w:rPr>
          <w:t>1.1</w:t>
        </w:r>
        <w:r w:rsidR="003211EA">
          <w:rPr>
            <w:rFonts w:asciiTheme="minorHAnsi" w:eastAsiaTheme="minorEastAsia" w:hAnsiTheme="minorHAnsi" w:cstheme="minorBidi"/>
            <w:snapToGrid/>
            <w:kern w:val="0"/>
            <w:szCs w:val="22"/>
            <w:lang w:eastAsia="en-AU"/>
          </w:rPr>
          <w:tab/>
        </w:r>
        <w:r w:rsidR="003211EA" w:rsidRPr="00045374">
          <w:rPr>
            <w:rStyle w:val="Hyperlink"/>
          </w:rPr>
          <w:t>Purpose</w:t>
        </w:r>
        <w:r w:rsidR="003211EA">
          <w:rPr>
            <w:webHidden/>
          </w:rPr>
          <w:tab/>
        </w:r>
        <w:r w:rsidR="003211EA">
          <w:rPr>
            <w:webHidden/>
          </w:rPr>
          <w:fldChar w:fldCharType="begin"/>
        </w:r>
        <w:r w:rsidR="003211EA">
          <w:rPr>
            <w:webHidden/>
          </w:rPr>
          <w:instrText xml:space="preserve"> PAGEREF _Toc484085279 \h </w:instrText>
        </w:r>
        <w:r w:rsidR="003211EA">
          <w:rPr>
            <w:webHidden/>
          </w:rPr>
        </w:r>
        <w:r w:rsidR="003211EA">
          <w:rPr>
            <w:webHidden/>
          </w:rPr>
          <w:fldChar w:fldCharType="separate"/>
        </w:r>
        <w:r w:rsidR="003211EA">
          <w:rPr>
            <w:webHidden/>
          </w:rPr>
          <w:t>4</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0" w:history="1">
        <w:r w:rsidR="003211EA" w:rsidRPr="00045374">
          <w:rPr>
            <w:rStyle w:val="Hyperlink"/>
          </w:rPr>
          <w:t>1.2</w:t>
        </w:r>
        <w:r w:rsidR="003211EA">
          <w:rPr>
            <w:rFonts w:asciiTheme="minorHAnsi" w:eastAsiaTheme="minorEastAsia" w:hAnsiTheme="minorHAnsi" w:cstheme="minorBidi"/>
            <w:snapToGrid/>
            <w:kern w:val="0"/>
            <w:szCs w:val="22"/>
            <w:lang w:eastAsia="en-AU"/>
          </w:rPr>
          <w:tab/>
        </w:r>
        <w:r w:rsidR="003211EA" w:rsidRPr="00045374">
          <w:rPr>
            <w:rStyle w:val="Hyperlink"/>
          </w:rPr>
          <w:t>Scope</w:t>
        </w:r>
        <w:r w:rsidR="003211EA">
          <w:rPr>
            <w:webHidden/>
          </w:rPr>
          <w:tab/>
        </w:r>
        <w:r w:rsidR="003211EA">
          <w:rPr>
            <w:webHidden/>
          </w:rPr>
          <w:fldChar w:fldCharType="begin"/>
        </w:r>
        <w:r w:rsidR="003211EA">
          <w:rPr>
            <w:webHidden/>
          </w:rPr>
          <w:instrText xml:space="preserve"> PAGEREF _Toc484085280 \h </w:instrText>
        </w:r>
        <w:r w:rsidR="003211EA">
          <w:rPr>
            <w:webHidden/>
          </w:rPr>
        </w:r>
        <w:r w:rsidR="003211EA">
          <w:rPr>
            <w:webHidden/>
          </w:rPr>
          <w:fldChar w:fldCharType="separate"/>
        </w:r>
        <w:r w:rsidR="003211EA">
          <w:rPr>
            <w:webHidden/>
          </w:rPr>
          <w:t>4</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1" w:history="1">
        <w:r w:rsidR="003211EA" w:rsidRPr="00045374">
          <w:rPr>
            <w:rStyle w:val="Hyperlink"/>
          </w:rPr>
          <w:t>1.3</w:t>
        </w:r>
        <w:r w:rsidR="003211EA">
          <w:rPr>
            <w:rFonts w:asciiTheme="minorHAnsi" w:eastAsiaTheme="minorEastAsia" w:hAnsiTheme="minorHAnsi" w:cstheme="minorBidi"/>
            <w:snapToGrid/>
            <w:kern w:val="0"/>
            <w:szCs w:val="22"/>
            <w:lang w:eastAsia="en-AU"/>
          </w:rPr>
          <w:tab/>
        </w:r>
        <w:r w:rsidR="003211EA" w:rsidRPr="00045374">
          <w:rPr>
            <w:rStyle w:val="Hyperlink"/>
          </w:rPr>
          <w:t>Document structure</w:t>
        </w:r>
        <w:r w:rsidR="003211EA">
          <w:rPr>
            <w:webHidden/>
          </w:rPr>
          <w:tab/>
        </w:r>
        <w:r w:rsidR="003211EA">
          <w:rPr>
            <w:webHidden/>
          </w:rPr>
          <w:fldChar w:fldCharType="begin"/>
        </w:r>
        <w:r w:rsidR="003211EA">
          <w:rPr>
            <w:webHidden/>
          </w:rPr>
          <w:instrText xml:space="preserve"> PAGEREF _Toc484085281 \h </w:instrText>
        </w:r>
        <w:r w:rsidR="003211EA">
          <w:rPr>
            <w:webHidden/>
          </w:rPr>
        </w:r>
        <w:r w:rsidR="003211EA">
          <w:rPr>
            <w:webHidden/>
          </w:rPr>
          <w:fldChar w:fldCharType="separate"/>
        </w:r>
        <w:r w:rsidR="003211EA">
          <w:rPr>
            <w:webHidden/>
          </w:rPr>
          <w:t>4</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2" w:history="1">
        <w:r w:rsidR="003211EA" w:rsidRPr="00045374">
          <w:rPr>
            <w:rStyle w:val="Hyperlink"/>
          </w:rPr>
          <w:t>1.4</w:t>
        </w:r>
        <w:r w:rsidR="003211EA">
          <w:rPr>
            <w:rFonts w:asciiTheme="minorHAnsi" w:eastAsiaTheme="minorEastAsia" w:hAnsiTheme="minorHAnsi" w:cstheme="minorBidi"/>
            <w:snapToGrid/>
            <w:kern w:val="0"/>
            <w:szCs w:val="22"/>
            <w:lang w:eastAsia="en-AU"/>
          </w:rPr>
          <w:tab/>
        </w:r>
        <w:r w:rsidR="003211EA" w:rsidRPr="00045374">
          <w:rPr>
            <w:rStyle w:val="Hyperlink"/>
          </w:rPr>
          <w:t>Objectives</w:t>
        </w:r>
        <w:r w:rsidR="003211EA">
          <w:rPr>
            <w:webHidden/>
          </w:rPr>
          <w:tab/>
        </w:r>
        <w:r w:rsidR="003211EA">
          <w:rPr>
            <w:webHidden/>
          </w:rPr>
          <w:fldChar w:fldCharType="begin"/>
        </w:r>
        <w:r w:rsidR="003211EA">
          <w:rPr>
            <w:webHidden/>
          </w:rPr>
          <w:instrText xml:space="preserve"> PAGEREF _Toc484085282 \h </w:instrText>
        </w:r>
        <w:r w:rsidR="003211EA">
          <w:rPr>
            <w:webHidden/>
          </w:rPr>
        </w:r>
        <w:r w:rsidR="003211EA">
          <w:rPr>
            <w:webHidden/>
          </w:rPr>
          <w:fldChar w:fldCharType="separate"/>
        </w:r>
        <w:r w:rsidR="003211EA">
          <w:rPr>
            <w:webHidden/>
          </w:rPr>
          <w:t>5</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3" w:history="1">
        <w:r w:rsidR="003211EA" w:rsidRPr="00045374">
          <w:rPr>
            <w:rStyle w:val="Hyperlink"/>
          </w:rPr>
          <w:t>1.5</w:t>
        </w:r>
        <w:r w:rsidR="003211EA">
          <w:rPr>
            <w:rFonts w:asciiTheme="minorHAnsi" w:eastAsiaTheme="minorEastAsia" w:hAnsiTheme="minorHAnsi" w:cstheme="minorBidi"/>
            <w:snapToGrid/>
            <w:kern w:val="0"/>
            <w:szCs w:val="22"/>
            <w:lang w:eastAsia="en-AU"/>
          </w:rPr>
          <w:tab/>
        </w:r>
        <w:r w:rsidR="003211EA" w:rsidRPr="00045374">
          <w:rPr>
            <w:rStyle w:val="Hyperlink"/>
          </w:rPr>
          <w:t>Vision</w:t>
        </w:r>
        <w:r w:rsidR="003211EA">
          <w:rPr>
            <w:webHidden/>
          </w:rPr>
          <w:tab/>
        </w:r>
        <w:r w:rsidR="003211EA">
          <w:rPr>
            <w:webHidden/>
          </w:rPr>
          <w:fldChar w:fldCharType="begin"/>
        </w:r>
        <w:r w:rsidR="003211EA">
          <w:rPr>
            <w:webHidden/>
          </w:rPr>
          <w:instrText xml:space="preserve"> PAGEREF _Toc484085283 \h </w:instrText>
        </w:r>
        <w:r w:rsidR="003211EA">
          <w:rPr>
            <w:webHidden/>
          </w:rPr>
        </w:r>
        <w:r w:rsidR="003211EA">
          <w:rPr>
            <w:webHidden/>
          </w:rPr>
          <w:fldChar w:fldCharType="separate"/>
        </w:r>
        <w:r w:rsidR="003211EA">
          <w:rPr>
            <w:webHidden/>
          </w:rPr>
          <w:t>6</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4" w:history="1">
        <w:r w:rsidR="003211EA" w:rsidRPr="00045374">
          <w:rPr>
            <w:rStyle w:val="Hyperlink"/>
          </w:rPr>
          <w:t>1.6</w:t>
        </w:r>
        <w:r w:rsidR="003211EA">
          <w:rPr>
            <w:rFonts w:asciiTheme="minorHAnsi" w:eastAsiaTheme="minorEastAsia" w:hAnsiTheme="minorHAnsi" w:cstheme="minorBidi"/>
            <w:snapToGrid/>
            <w:kern w:val="0"/>
            <w:szCs w:val="22"/>
            <w:lang w:eastAsia="en-AU"/>
          </w:rPr>
          <w:tab/>
        </w:r>
        <w:r w:rsidR="003211EA" w:rsidRPr="00045374">
          <w:rPr>
            <w:rStyle w:val="Hyperlink"/>
          </w:rPr>
          <w:t>Principles</w:t>
        </w:r>
        <w:r w:rsidR="003211EA">
          <w:rPr>
            <w:webHidden/>
          </w:rPr>
          <w:tab/>
        </w:r>
        <w:r w:rsidR="003211EA">
          <w:rPr>
            <w:webHidden/>
          </w:rPr>
          <w:fldChar w:fldCharType="begin"/>
        </w:r>
        <w:r w:rsidR="003211EA">
          <w:rPr>
            <w:webHidden/>
          </w:rPr>
          <w:instrText xml:space="preserve"> PAGEREF _Toc484085284 \h </w:instrText>
        </w:r>
        <w:r w:rsidR="003211EA">
          <w:rPr>
            <w:webHidden/>
          </w:rPr>
        </w:r>
        <w:r w:rsidR="003211EA">
          <w:rPr>
            <w:webHidden/>
          </w:rPr>
          <w:fldChar w:fldCharType="separate"/>
        </w:r>
        <w:r w:rsidR="003211EA">
          <w:rPr>
            <w:webHidden/>
          </w:rPr>
          <w:t>6</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285" w:history="1">
        <w:r w:rsidR="003211EA" w:rsidRPr="00045374">
          <w:rPr>
            <w:rStyle w:val="Hyperlink"/>
          </w:rPr>
          <w:t>2</w:t>
        </w:r>
        <w:r w:rsidR="003211EA">
          <w:rPr>
            <w:rFonts w:asciiTheme="minorHAnsi" w:eastAsiaTheme="minorEastAsia" w:hAnsiTheme="minorHAnsi" w:cstheme="minorBidi"/>
            <w:b w:val="0"/>
            <w:snapToGrid/>
            <w:kern w:val="0"/>
            <w:szCs w:val="22"/>
          </w:rPr>
          <w:tab/>
        </w:r>
        <w:r w:rsidR="003211EA" w:rsidRPr="00045374">
          <w:rPr>
            <w:rStyle w:val="Hyperlink"/>
          </w:rPr>
          <w:t>Background</w:t>
        </w:r>
        <w:r w:rsidR="003211EA">
          <w:rPr>
            <w:webHidden/>
          </w:rPr>
          <w:tab/>
        </w:r>
        <w:r w:rsidR="003211EA">
          <w:rPr>
            <w:webHidden/>
          </w:rPr>
          <w:fldChar w:fldCharType="begin"/>
        </w:r>
        <w:r w:rsidR="003211EA">
          <w:rPr>
            <w:webHidden/>
          </w:rPr>
          <w:instrText xml:space="preserve"> PAGEREF _Toc484085285 \h </w:instrText>
        </w:r>
        <w:r w:rsidR="003211EA">
          <w:rPr>
            <w:webHidden/>
          </w:rPr>
        </w:r>
        <w:r w:rsidR="003211EA">
          <w:rPr>
            <w:webHidden/>
          </w:rPr>
          <w:fldChar w:fldCharType="separate"/>
        </w:r>
        <w:r w:rsidR="003211EA">
          <w:rPr>
            <w:webHidden/>
          </w:rPr>
          <w:t>8</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6" w:history="1">
        <w:r w:rsidR="003211EA" w:rsidRPr="00045374">
          <w:rPr>
            <w:rStyle w:val="Hyperlink"/>
          </w:rPr>
          <w:t>2.1</w:t>
        </w:r>
        <w:r w:rsidR="003211EA">
          <w:rPr>
            <w:rFonts w:asciiTheme="minorHAnsi" w:eastAsiaTheme="minorEastAsia" w:hAnsiTheme="minorHAnsi" w:cstheme="minorBidi"/>
            <w:snapToGrid/>
            <w:kern w:val="0"/>
            <w:szCs w:val="22"/>
            <w:lang w:eastAsia="en-AU"/>
          </w:rPr>
          <w:tab/>
        </w:r>
        <w:r w:rsidR="003211EA" w:rsidRPr="00045374">
          <w:rPr>
            <w:rStyle w:val="Hyperlink"/>
          </w:rPr>
          <w:t>Federation roles</w:t>
        </w:r>
        <w:r w:rsidR="003211EA">
          <w:rPr>
            <w:webHidden/>
          </w:rPr>
          <w:tab/>
        </w:r>
        <w:r w:rsidR="003211EA">
          <w:rPr>
            <w:webHidden/>
          </w:rPr>
          <w:fldChar w:fldCharType="begin"/>
        </w:r>
        <w:r w:rsidR="003211EA">
          <w:rPr>
            <w:webHidden/>
          </w:rPr>
          <w:instrText xml:space="preserve"> PAGEREF _Toc484085286 \h </w:instrText>
        </w:r>
        <w:r w:rsidR="003211EA">
          <w:rPr>
            <w:webHidden/>
          </w:rPr>
        </w:r>
        <w:r w:rsidR="003211EA">
          <w:rPr>
            <w:webHidden/>
          </w:rPr>
          <w:fldChar w:fldCharType="separate"/>
        </w:r>
        <w:r w:rsidR="003211EA">
          <w:rPr>
            <w:webHidden/>
          </w:rPr>
          <w:t>8</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7" w:history="1">
        <w:r w:rsidR="003211EA" w:rsidRPr="00045374">
          <w:rPr>
            <w:rStyle w:val="Hyperlink"/>
          </w:rPr>
          <w:t>2.2</w:t>
        </w:r>
        <w:r w:rsidR="003211EA">
          <w:rPr>
            <w:rFonts w:asciiTheme="minorHAnsi" w:eastAsiaTheme="minorEastAsia" w:hAnsiTheme="minorHAnsi" w:cstheme="minorBidi"/>
            <w:snapToGrid/>
            <w:kern w:val="0"/>
            <w:szCs w:val="22"/>
            <w:lang w:eastAsia="en-AU"/>
          </w:rPr>
          <w:tab/>
        </w:r>
        <w:r w:rsidR="003211EA" w:rsidRPr="00045374">
          <w:rPr>
            <w:rStyle w:val="Hyperlink"/>
          </w:rPr>
          <w:t>User constituencies (types of identity)</w:t>
        </w:r>
        <w:r w:rsidR="003211EA">
          <w:rPr>
            <w:webHidden/>
          </w:rPr>
          <w:tab/>
        </w:r>
        <w:r w:rsidR="003211EA">
          <w:rPr>
            <w:webHidden/>
          </w:rPr>
          <w:fldChar w:fldCharType="begin"/>
        </w:r>
        <w:r w:rsidR="003211EA">
          <w:rPr>
            <w:webHidden/>
          </w:rPr>
          <w:instrText xml:space="preserve"> PAGEREF _Toc484085287 \h </w:instrText>
        </w:r>
        <w:r w:rsidR="003211EA">
          <w:rPr>
            <w:webHidden/>
          </w:rPr>
        </w:r>
        <w:r w:rsidR="003211EA">
          <w:rPr>
            <w:webHidden/>
          </w:rPr>
          <w:fldChar w:fldCharType="separate"/>
        </w:r>
        <w:r w:rsidR="003211EA">
          <w:rPr>
            <w:webHidden/>
          </w:rPr>
          <w:t>9</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8" w:history="1">
        <w:r w:rsidR="003211EA" w:rsidRPr="00045374">
          <w:rPr>
            <w:rStyle w:val="Hyperlink"/>
          </w:rPr>
          <w:t>2.3</w:t>
        </w:r>
        <w:r w:rsidR="003211EA">
          <w:rPr>
            <w:rFonts w:asciiTheme="minorHAnsi" w:eastAsiaTheme="minorEastAsia" w:hAnsiTheme="minorHAnsi" w:cstheme="minorBidi"/>
            <w:snapToGrid/>
            <w:kern w:val="0"/>
            <w:szCs w:val="22"/>
            <w:lang w:eastAsia="en-AU"/>
          </w:rPr>
          <w:tab/>
        </w:r>
        <w:r w:rsidR="003211EA" w:rsidRPr="00045374">
          <w:rPr>
            <w:rStyle w:val="Hyperlink"/>
          </w:rPr>
          <w:t>Federated identity models</w:t>
        </w:r>
        <w:r w:rsidR="003211EA">
          <w:rPr>
            <w:webHidden/>
          </w:rPr>
          <w:tab/>
        </w:r>
        <w:r w:rsidR="003211EA">
          <w:rPr>
            <w:webHidden/>
          </w:rPr>
          <w:fldChar w:fldCharType="begin"/>
        </w:r>
        <w:r w:rsidR="003211EA">
          <w:rPr>
            <w:webHidden/>
          </w:rPr>
          <w:instrText xml:space="preserve"> PAGEREF _Toc484085288 \h </w:instrText>
        </w:r>
        <w:r w:rsidR="003211EA">
          <w:rPr>
            <w:webHidden/>
          </w:rPr>
        </w:r>
        <w:r w:rsidR="003211EA">
          <w:rPr>
            <w:webHidden/>
          </w:rPr>
          <w:fldChar w:fldCharType="separate"/>
        </w:r>
        <w:r w:rsidR="003211EA">
          <w:rPr>
            <w:webHidden/>
          </w:rPr>
          <w:t>11</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89" w:history="1">
        <w:r w:rsidR="003211EA" w:rsidRPr="00045374">
          <w:rPr>
            <w:rStyle w:val="Hyperlink"/>
          </w:rPr>
          <w:t>2.4</w:t>
        </w:r>
        <w:r w:rsidR="003211EA">
          <w:rPr>
            <w:rFonts w:asciiTheme="minorHAnsi" w:eastAsiaTheme="minorEastAsia" w:hAnsiTheme="minorHAnsi" w:cstheme="minorBidi"/>
            <w:snapToGrid/>
            <w:kern w:val="0"/>
            <w:szCs w:val="22"/>
            <w:lang w:eastAsia="en-AU"/>
          </w:rPr>
          <w:tab/>
        </w:r>
        <w:r w:rsidR="003211EA" w:rsidRPr="00045374">
          <w:rPr>
            <w:rStyle w:val="Hyperlink"/>
          </w:rPr>
          <w:t>Traditional identity and access management reference model</w:t>
        </w:r>
        <w:r w:rsidR="003211EA">
          <w:rPr>
            <w:webHidden/>
          </w:rPr>
          <w:tab/>
        </w:r>
        <w:r w:rsidR="003211EA">
          <w:rPr>
            <w:webHidden/>
          </w:rPr>
          <w:fldChar w:fldCharType="begin"/>
        </w:r>
        <w:r w:rsidR="003211EA">
          <w:rPr>
            <w:webHidden/>
          </w:rPr>
          <w:instrText xml:space="preserve"> PAGEREF _Toc484085289 \h </w:instrText>
        </w:r>
        <w:r w:rsidR="003211EA">
          <w:rPr>
            <w:webHidden/>
          </w:rPr>
        </w:r>
        <w:r w:rsidR="003211EA">
          <w:rPr>
            <w:webHidden/>
          </w:rPr>
          <w:fldChar w:fldCharType="separate"/>
        </w:r>
        <w:r w:rsidR="003211EA">
          <w:rPr>
            <w:webHidden/>
          </w:rPr>
          <w:t>14</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290" w:history="1">
        <w:r w:rsidR="003211EA" w:rsidRPr="00045374">
          <w:rPr>
            <w:rStyle w:val="Hyperlink"/>
          </w:rPr>
          <w:t>3</w:t>
        </w:r>
        <w:r w:rsidR="003211EA">
          <w:rPr>
            <w:rFonts w:asciiTheme="minorHAnsi" w:eastAsiaTheme="minorEastAsia" w:hAnsiTheme="minorHAnsi" w:cstheme="minorBidi"/>
            <w:b w:val="0"/>
            <w:snapToGrid/>
            <w:kern w:val="0"/>
            <w:szCs w:val="22"/>
          </w:rPr>
          <w:tab/>
        </w:r>
        <w:r w:rsidR="003211EA" w:rsidRPr="00045374">
          <w:rPr>
            <w:rStyle w:val="Hyperlink"/>
          </w:rPr>
          <w:t>Federation use cases</w:t>
        </w:r>
        <w:r w:rsidR="003211EA">
          <w:rPr>
            <w:webHidden/>
          </w:rPr>
          <w:tab/>
        </w:r>
        <w:r w:rsidR="003211EA">
          <w:rPr>
            <w:webHidden/>
          </w:rPr>
          <w:fldChar w:fldCharType="begin"/>
        </w:r>
        <w:r w:rsidR="003211EA">
          <w:rPr>
            <w:webHidden/>
          </w:rPr>
          <w:instrText xml:space="preserve"> PAGEREF _Toc484085290 \h </w:instrText>
        </w:r>
        <w:r w:rsidR="003211EA">
          <w:rPr>
            <w:webHidden/>
          </w:rPr>
        </w:r>
        <w:r w:rsidR="003211EA">
          <w:rPr>
            <w:webHidden/>
          </w:rPr>
          <w:fldChar w:fldCharType="separate"/>
        </w:r>
        <w:r w:rsidR="003211EA">
          <w:rPr>
            <w:webHidden/>
          </w:rPr>
          <w:t>15</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1" w:history="1">
        <w:r w:rsidR="003211EA" w:rsidRPr="00045374">
          <w:rPr>
            <w:rStyle w:val="Hyperlink"/>
          </w:rPr>
          <w:t>3.1</w:t>
        </w:r>
        <w:r w:rsidR="003211EA">
          <w:rPr>
            <w:rFonts w:asciiTheme="minorHAnsi" w:eastAsiaTheme="minorEastAsia" w:hAnsiTheme="minorHAnsi" w:cstheme="minorBidi"/>
            <w:snapToGrid/>
            <w:kern w:val="0"/>
            <w:szCs w:val="22"/>
            <w:lang w:eastAsia="en-AU"/>
          </w:rPr>
          <w:tab/>
        </w:r>
        <w:r w:rsidR="003211EA" w:rsidRPr="00045374">
          <w:rPr>
            <w:rStyle w:val="Hyperlink"/>
          </w:rPr>
          <w:t>Federated authentication</w:t>
        </w:r>
        <w:r w:rsidR="003211EA">
          <w:rPr>
            <w:webHidden/>
          </w:rPr>
          <w:tab/>
        </w:r>
        <w:r w:rsidR="003211EA">
          <w:rPr>
            <w:webHidden/>
          </w:rPr>
          <w:fldChar w:fldCharType="begin"/>
        </w:r>
        <w:r w:rsidR="003211EA">
          <w:rPr>
            <w:webHidden/>
          </w:rPr>
          <w:instrText xml:space="preserve"> PAGEREF _Toc484085291 \h </w:instrText>
        </w:r>
        <w:r w:rsidR="003211EA">
          <w:rPr>
            <w:webHidden/>
          </w:rPr>
        </w:r>
        <w:r w:rsidR="003211EA">
          <w:rPr>
            <w:webHidden/>
          </w:rPr>
          <w:fldChar w:fldCharType="separate"/>
        </w:r>
        <w:r w:rsidR="003211EA">
          <w:rPr>
            <w:webHidden/>
          </w:rPr>
          <w:t>16</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2" w:history="1">
        <w:r w:rsidR="003211EA" w:rsidRPr="00045374">
          <w:rPr>
            <w:rStyle w:val="Hyperlink"/>
          </w:rPr>
          <w:t>3.2</w:t>
        </w:r>
        <w:r w:rsidR="003211EA">
          <w:rPr>
            <w:rFonts w:asciiTheme="minorHAnsi" w:eastAsiaTheme="minorEastAsia" w:hAnsiTheme="minorHAnsi" w:cstheme="minorBidi"/>
            <w:snapToGrid/>
            <w:kern w:val="0"/>
            <w:szCs w:val="22"/>
            <w:lang w:eastAsia="en-AU"/>
          </w:rPr>
          <w:tab/>
        </w:r>
        <w:r w:rsidR="003211EA" w:rsidRPr="00045374">
          <w:rPr>
            <w:rStyle w:val="Hyperlink"/>
          </w:rPr>
          <w:t>Federated delegated authorisation</w:t>
        </w:r>
        <w:r w:rsidR="003211EA">
          <w:rPr>
            <w:webHidden/>
          </w:rPr>
          <w:tab/>
        </w:r>
        <w:r w:rsidR="003211EA">
          <w:rPr>
            <w:webHidden/>
          </w:rPr>
          <w:fldChar w:fldCharType="begin"/>
        </w:r>
        <w:r w:rsidR="003211EA">
          <w:rPr>
            <w:webHidden/>
          </w:rPr>
          <w:instrText xml:space="preserve"> PAGEREF _Toc484085292 \h </w:instrText>
        </w:r>
        <w:r w:rsidR="003211EA">
          <w:rPr>
            <w:webHidden/>
          </w:rPr>
        </w:r>
        <w:r w:rsidR="003211EA">
          <w:rPr>
            <w:webHidden/>
          </w:rPr>
          <w:fldChar w:fldCharType="separate"/>
        </w:r>
        <w:r w:rsidR="003211EA">
          <w:rPr>
            <w:webHidden/>
          </w:rPr>
          <w:t>17</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3" w:history="1">
        <w:r w:rsidR="003211EA" w:rsidRPr="00045374">
          <w:rPr>
            <w:rStyle w:val="Hyperlink"/>
          </w:rPr>
          <w:t>3.3</w:t>
        </w:r>
        <w:r w:rsidR="003211EA">
          <w:rPr>
            <w:rFonts w:asciiTheme="minorHAnsi" w:eastAsiaTheme="minorEastAsia" w:hAnsiTheme="minorHAnsi" w:cstheme="minorBidi"/>
            <w:snapToGrid/>
            <w:kern w:val="0"/>
            <w:szCs w:val="22"/>
            <w:lang w:eastAsia="en-AU"/>
          </w:rPr>
          <w:tab/>
        </w:r>
        <w:r w:rsidR="003211EA" w:rsidRPr="00045374">
          <w:rPr>
            <w:rStyle w:val="Hyperlink"/>
          </w:rPr>
          <w:t>Federated attribute exchange</w:t>
        </w:r>
        <w:r w:rsidR="003211EA">
          <w:rPr>
            <w:webHidden/>
          </w:rPr>
          <w:tab/>
        </w:r>
        <w:r w:rsidR="003211EA">
          <w:rPr>
            <w:webHidden/>
          </w:rPr>
          <w:fldChar w:fldCharType="begin"/>
        </w:r>
        <w:r w:rsidR="003211EA">
          <w:rPr>
            <w:webHidden/>
          </w:rPr>
          <w:instrText xml:space="preserve"> PAGEREF _Toc484085293 \h </w:instrText>
        </w:r>
        <w:r w:rsidR="003211EA">
          <w:rPr>
            <w:webHidden/>
          </w:rPr>
        </w:r>
        <w:r w:rsidR="003211EA">
          <w:rPr>
            <w:webHidden/>
          </w:rPr>
          <w:fldChar w:fldCharType="separate"/>
        </w:r>
        <w:r w:rsidR="003211EA">
          <w:rPr>
            <w:webHidden/>
          </w:rPr>
          <w:t>19</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294" w:history="1">
        <w:r w:rsidR="003211EA" w:rsidRPr="00045374">
          <w:rPr>
            <w:rStyle w:val="Hyperlink"/>
          </w:rPr>
          <w:t>4</w:t>
        </w:r>
        <w:r w:rsidR="003211EA">
          <w:rPr>
            <w:rFonts w:asciiTheme="minorHAnsi" w:eastAsiaTheme="minorEastAsia" w:hAnsiTheme="minorHAnsi" w:cstheme="minorBidi"/>
            <w:b w:val="0"/>
            <w:snapToGrid/>
            <w:kern w:val="0"/>
            <w:szCs w:val="22"/>
          </w:rPr>
          <w:tab/>
        </w:r>
        <w:r w:rsidR="003211EA" w:rsidRPr="00045374">
          <w:rPr>
            <w:rStyle w:val="Hyperlink"/>
          </w:rPr>
          <w:t>Overview</w:t>
        </w:r>
        <w:r w:rsidR="003211EA">
          <w:rPr>
            <w:webHidden/>
          </w:rPr>
          <w:tab/>
        </w:r>
        <w:r w:rsidR="003211EA">
          <w:rPr>
            <w:webHidden/>
          </w:rPr>
          <w:fldChar w:fldCharType="begin"/>
        </w:r>
        <w:r w:rsidR="003211EA">
          <w:rPr>
            <w:webHidden/>
          </w:rPr>
          <w:instrText xml:space="preserve"> PAGEREF _Toc484085294 \h </w:instrText>
        </w:r>
        <w:r w:rsidR="003211EA">
          <w:rPr>
            <w:webHidden/>
          </w:rPr>
        </w:r>
        <w:r w:rsidR="003211EA">
          <w:rPr>
            <w:webHidden/>
          </w:rPr>
          <w:fldChar w:fldCharType="separate"/>
        </w:r>
        <w:r w:rsidR="003211EA">
          <w:rPr>
            <w:webHidden/>
          </w:rPr>
          <w:t>20</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5" w:history="1">
        <w:r w:rsidR="003211EA" w:rsidRPr="00045374">
          <w:rPr>
            <w:rStyle w:val="Hyperlink"/>
          </w:rPr>
          <w:t>4.1</w:t>
        </w:r>
        <w:r w:rsidR="003211EA">
          <w:rPr>
            <w:rFonts w:asciiTheme="minorHAnsi" w:eastAsiaTheme="minorEastAsia" w:hAnsiTheme="minorHAnsi" w:cstheme="minorBidi"/>
            <w:snapToGrid/>
            <w:kern w:val="0"/>
            <w:szCs w:val="22"/>
            <w:lang w:eastAsia="en-AU"/>
          </w:rPr>
          <w:tab/>
        </w:r>
        <w:r w:rsidR="003211EA" w:rsidRPr="00045374">
          <w:rPr>
            <w:rStyle w:val="Hyperlink"/>
          </w:rPr>
          <w:t>Context</w:t>
        </w:r>
        <w:r w:rsidR="003211EA">
          <w:rPr>
            <w:webHidden/>
          </w:rPr>
          <w:tab/>
        </w:r>
        <w:r w:rsidR="003211EA">
          <w:rPr>
            <w:webHidden/>
          </w:rPr>
          <w:fldChar w:fldCharType="begin"/>
        </w:r>
        <w:r w:rsidR="003211EA">
          <w:rPr>
            <w:webHidden/>
          </w:rPr>
          <w:instrText xml:space="preserve"> PAGEREF _Toc484085295 \h </w:instrText>
        </w:r>
        <w:r w:rsidR="003211EA">
          <w:rPr>
            <w:webHidden/>
          </w:rPr>
        </w:r>
        <w:r w:rsidR="003211EA">
          <w:rPr>
            <w:webHidden/>
          </w:rPr>
          <w:fldChar w:fldCharType="separate"/>
        </w:r>
        <w:r w:rsidR="003211EA">
          <w:rPr>
            <w:webHidden/>
          </w:rPr>
          <w:t>20</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6" w:history="1">
        <w:r w:rsidR="003211EA" w:rsidRPr="00045374">
          <w:rPr>
            <w:rStyle w:val="Hyperlink"/>
          </w:rPr>
          <w:t>4.2</w:t>
        </w:r>
        <w:r w:rsidR="003211EA">
          <w:rPr>
            <w:rFonts w:asciiTheme="minorHAnsi" w:eastAsiaTheme="minorEastAsia" w:hAnsiTheme="minorHAnsi" w:cstheme="minorBidi"/>
            <w:snapToGrid/>
            <w:kern w:val="0"/>
            <w:szCs w:val="22"/>
            <w:lang w:eastAsia="en-AU"/>
          </w:rPr>
          <w:tab/>
        </w:r>
        <w:r w:rsidR="003211EA" w:rsidRPr="00045374">
          <w:rPr>
            <w:rStyle w:val="Hyperlink"/>
          </w:rPr>
          <w:t>Overview of the Queensland Government identity landscape</w:t>
        </w:r>
        <w:r w:rsidR="003211EA">
          <w:rPr>
            <w:webHidden/>
          </w:rPr>
          <w:tab/>
        </w:r>
        <w:r w:rsidR="003211EA">
          <w:rPr>
            <w:webHidden/>
          </w:rPr>
          <w:fldChar w:fldCharType="begin"/>
        </w:r>
        <w:r w:rsidR="003211EA">
          <w:rPr>
            <w:webHidden/>
          </w:rPr>
          <w:instrText xml:space="preserve"> PAGEREF _Toc484085296 \h </w:instrText>
        </w:r>
        <w:r w:rsidR="003211EA">
          <w:rPr>
            <w:webHidden/>
          </w:rPr>
        </w:r>
        <w:r w:rsidR="003211EA">
          <w:rPr>
            <w:webHidden/>
          </w:rPr>
          <w:fldChar w:fldCharType="separate"/>
        </w:r>
        <w:r w:rsidR="003211EA">
          <w:rPr>
            <w:webHidden/>
          </w:rPr>
          <w:t>22</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7" w:history="1">
        <w:r w:rsidR="003211EA" w:rsidRPr="00045374">
          <w:rPr>
            <w:rStyle w:val="Hyperlink"/>
          </w:rPr>
          <w:t>4.3</w:t>
        </w:r>
        <w:r w:rsidR="003211EA">
          <w:rPr>
            <w:rFonts w:asciiTheme="minorHAnsi" w:eastAsiaTheme="minorEastAsia" w:hAnsiTheme="minorHAnsi" w:cstheme="minorBidi"/>
            <w:snapToGrid/>
            <w:kern w:val="0"/>
            <w:szCs w:val="22"/>
            <w:lang w:eastAsia="en-AU"/>
          </w:rPr>
          <w:tab/>
        </w:r>
        <w:r w:rsidR="003211EA" w:rsidRPr="00045374">
          <w:rPr>
            <w:rStyle w:val="Hyperlink"/>
          </w:rPr>
          <w:t>Customer identity landscape</w:t>
        </w:r>
        <w:r w:rsidR="003211EA">
          <w:rPr>
            <w:webHidden/>
          </w:rPr>
          <w:tab/>
        </w:r>
        <w:r w:rsidR="003211EA">
          <w:rPr>
            <w:webHidden/>
          </w:rPr>
          <w:fldChar w:fldCharType="begin"/>
        </w:r>
        <w:r w:rsidR="003211EA">
          <w:rPr>
            <w:webHidden/>
          </w:rPr>
          <w:instrText xml:space="preserve"> PAGEREF _Toc484085297 \h </w:instrText>
        </w:r>
        <w:r w:rsidR="003211EA">
          <w:rPr>
            <w:webHidden/>
          </w:rPr>
        </w:r>
        <w:r w:rsidR="003211EA">
          <w:rPr>
            <w:webHidden/>
          </w:rPr>
          <w:fldChar w:fldCharType="separate"/>
        </w:r>
        <w:r w:rsidR="003211EA">
          <w:rPr>
            <w:webHidden/>
          </w:rPr>
          <w:t>23</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8" w:history="1">
        <w:r w:rsidR="003211EA" w:rsidRPr="00045374">
          <w:rPr>
            <w:rStyle w:val="Hyperlink"/>
          </w:rPr>
          <w:t>4.4</w:t>
        </w:r>
        <w:r w:rsidR="003211EA">
          <w:rPr>
            <w:rFonts w:asciiTheme="minorHAnsi" w:eastAsiaTheme="minorEastAsia" w:hAnsiTheme="minorHAnsi" w:cstheme="minorBidi"/>
            <w:snapToGrid/>
            <w:kern w:val="0"/>
            <w:szCs w:val="22"/>
            <w:lang w:eastAsia="en-AU"/>
          </w:rPr>
          <w:tab/>
        </w:r>
        <w:r w:rsidR="003211EA" w:rsidRPr="00045374">
          <w:rPr>
            <w:rStyle w:val="Hyperlink"/>
          </w:rPr>
          <w:t>Client identity landscape</w:t>
        </w:r>
        <w:r w:rsidR="003211EA">
          <w:rPr>
            <w:webHidden/>
          </w:rPr>
          <w:tab/>
        </w:r>
        <w:r w:rsidR="003211EA">
          <w:rPr>
            <w:webHidden/>
          </w:rPr>
          <w:fldChar w:fldCharType="begin"/>
        </w:r>
        <w:r w:rsidR="003211EA">
          <w:rPr>
            <w:webHidden/>
          </w:rPr>
          <w:instrText xml:space="preserve"> PAGEREF _Toc484085298 \h </w:instrText>
        </w:r>
        <w:r w:rsidR="003211EA">
          <w:rPr>
            <w:webHidden/>
          </w:rPr>
        </w:r>
        <w:r w:rsidR="003211EA">
          <w:rPr>
            <w:webHidden/>
          </w:rPr>
          <w:fldChar w:fldCharType="separate"/>
        </w:r>
        <w:r w:rsidR="003211EA">
          <w:rPr>
            <w:webHidden/>
          </w:rPr>
          <w:t>33</w:t>
        </w:r>
        <w:r w:rsidR="003211EA">
          <w:rPr>
            <w:webHidden/>
          </w:rPr>
          <w:fldChar w:fldCharType="end"/>
        </w:r>
      </w:hyperlink>
    </w:p>
    <w:p w:rsidR="003211EA" w:rsidRDefault="007928FC">
      <w:pPr>
        <w:pStyle w:val="TOC2"/>
        <w:rPr>
          <w:rFonts w:asciiTheme="minorHAnsi" w:eastAsiaTheme="minorEastAsia" w:hAnsiTheme="minorHAnsi" w:cstheme="minorBidi"/>
          <w:snapToGrid/>
          <w:kern w:val="0"/>
          <w:szCs w:val="22"/>
          <w:lang w:eastAsia="en-AU"/>
        </w:rPr>
      </w:pPr>
      <w:hyperlink w:anchor="_Toc484085299" w:history="1">
        <w:r w:rsidR="003211EA" w:rsidRPr="00045374">
          <w:rPr>
            <w:rStyle w:val="Hyperlink"/>
          </w:rPr>
          <w:t>4.5</w:t>
        </w:r>
        <w:r w:rsidR="003211EA">
          <w:rPr>
            <w:rFonts w:asciiTheme="minorHAnsi" w:eastAsiaTheme="minorEastAsia" w:hAnsiTheme="minorHAnsi" w:cstheme="minorBidi"/>
            <w:snapToGrid/>
            <w:kern w:val="0"/>
            <w:szCs w:val="22"/>
            <w:lang w:eastAsia="en-AU"/>
          </w:rPr>
          <w:tab/>
        </w:r>
        <w:r w:rsidR="003211EA" w:rsidRPr="00045374">
          <w:rPr>
            <w:rStyle w:val="Hyperlink"/>
          </w:rPr>
          <w:t>Staff identity landscape</w:t>
        </w:r>
        <w:r w:rsidR="003211EA">
          <w:rPr>
            <w:webHidden/>
          </w:rPr>
          <w:tab/>
        </w:r>
        <w:r w:rsidR="003211EA">
          <w:rPr>
            <w:webHidden/>
          </w:rPr>
          <w:fldChar w:fldCharType="begin"/>
        </w:r>
        <w:r w:rsidR="003211EA">
          <w:rPr>
            <w:webHidden/>
          </w:rPr>
          <w:instrText xml:space="preserve"> PAGEREF _Toc484085299 \h </w:instrText>
        </w:r>
        <w:r w:rsidR="003211EA">
          <w:rPr>
            <w:webHidden/>
          </w:rPr>
        </w:r>
        <w:r w:rsidR="003211EA">
          <w:rPr>
            <w:webHidden/>
          </w:rPr>
          <w:fldChar w:fldCharType="separate"/>
        </w:r>
        <w:r w:rsidR="003211EA">
          <w:rPr>
            <w:webHidden/>
          </w:rPr>
          <w:t>36</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300" w:history="1">
        <w:r w:rsidR="003211EA" w:rsidRPr="00045374">
          <w:rPr>
            <w:rStyle w:val="Hyperlink"/>
          </w:rPr>
          <w:t>5</w:t>
        </w:r>
        <w:r w:rsidR="003211EA">
          <w:rPr>
            <w:rFonts w:asciiTheme="minorHAnsi" w:eastAsiaTheme="minorEastAsia" w:hAnsiTheme="minorHAnsi" w:cstheme="minorBidi"/>
            <w:b w:val="0"/>
            <w:snapToGrid/>
            <w:kern w:val="0"/>
            <w:szCs w:val="22"/>
          </w:rPr>
          <w:tab/>
        </w:r>
        <w:r w:rsidR="003211EA" w:rsidRPr="00045374">
          <w:rPr>
            <w:rStyle w:val="Hyperlink"/>
          </w:rPr>
          <w:t>Recommendations</w:t>
        </w:r>
        <w:r w:rsidR="003211EA">
          <w:rPr>
            <w:webHidden/>
          </w:rPr>
          <w:tab/>
        </w:r>
        <w:r w:rsidR="003211EA">
          <w:rPr>
            <w:webHidden/>
          </w:rPr>
          <w:fldChar w:fldCharType="begin"/>
        </w:r>
        <w:r w:rsidR="003211EA">
          <w:rPr>
            <w:webHidden/>
          </w:rPr>
          <w:instrText xml:space="preserve"> PAGEREF _Toc484085300 \h </w:instrText>
        </w:r>
        <w:r w:rsidR="003211EA">
          <w:rPr>
            <w:webHidden/>
          </w:rPr>
        </w:r>
        <w:r w:rsidR="003211EA">
          <w:rPr>
            <w:webHidden/>
          </w:rPr>
          <w:fldChar w:fldCharType="separate"/>
        </w:r>
        <w:r w:rsidR="003211EA">
          <w:rPr>
            <w:webHidden/>
          </w:rPr>
          <w:t>39</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301" w:history="1">
        <w:r w:rsidR="003211EA" w:rsidRPr="00045374">
          <w:rPr>
            <w:rStyle w:val="Hyperlink"/>
          </w:rPr>
          <w:t>Appendix A</w:t>
        </w:r>
        <w:r w:rsidR="003211EA">
          <w:rPr>
            <w:rFonts w:asciiTheme="minorHAnsi" w:eastAsiaTheme="minorEastAsia" w:hAnsiTheme="minorHAnsi" w:cstheme="minorBidi"/>
            <w:b w:val="0"/>
            <w:snapToGrid/>
            <w:kern w:val="0"/>
            <w:szCs w:val="22"/>
          </w:rPr>
          <w:tab/>
        </w:r>
        <w:r w:rsidR="003211EA" w:rsidRPr="00045374">
          <w:rPr>
            <w:rStyle w:val="Hyperlink"/>
          </w:rPr>
          <w:t>Listing of established identifiers</w:t>
        </w:r>
        <w:r w:rsidR="003211EA">
          <w:rPr>
            <w:webHidden/>
          </w:rPr>
          <w:tab/>
        </w:r>
        <w:r w:rsidR="003211EA">
          <w:rPr>
            <w:webHidden/>
          </w:rPr>
          <w:fldChar w:fldCharType="begin"/>
        </w:r>
        <w:r w:rsidR="003211EA">
          <w:rPr>
            <w:webHidden/>
          </w:rPr>
          <w:instrText xml:space="preserve"> PAGEREF _Toc484085301 \h </w:instrText>
        </w:r>
        <w:r w:rsidR="003211EA">
          <w:rPr>
            <w:webHidden/>
          </w:rPr>
        </w:r>
        <w:r w:rsidR="003211EA">
          <w:rPr>
            <w:webHidden/>
          </w:rPr>
          <w:fldChar w:fldCharType="separate"/>
        </w:r>
        <w:r w:rsidR="003211EA">
          <w:rPr>
            <w:webHidden/>
          </w:rPr>
          <w:t>40</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302" w:history="1">
        <w:r w:rsidR="003211EA" w:rsidRPr="00045374">
          <w:rPr>
            <w:rStyle w:val="Hyperlink"/>
          </w:rPr>
          <w:t>Appendix B</w:t>
        </w:r>
        <w:r w:rsidR="003211EA">
          <w:rPr>
            <w:rFonts w:asciiTheme="minorHAnsi" w:eastAsiaTheme="minorEastAsia" w:hAnsiTheme="minorHAnsi" w:cstheme="minorBidi"/>
            <w:b w:val="0"/>
            <w:snapToGrid/>
            <w:kern w:val="0"/>
            <w:szCs w:val="22"/>
          </w:rPr>
          <w:tab/>
        </w:r>
        <w:r w:rsidR="003211EA" w:rsidRPr="00045374">
          <w:rPr>
            <w:rStyle w:val="Hyperlink"/>
          </w:rPr>
          <w:t>Listing of Identity, Credential and Attribute Providers</w:t>
        </w:r>
        <w:r w:rsidR="003211EA">
          <w:rPr>
            <w:webHidden/>
          </w:rPr>
          <w:tab/>
        </w:r>
        <w:r w:rsidR="003211EA">
          <w:rPr>
            <w:webHidden/>
          </w:rPr>
          <w:fldChar w:fldCharType="begin"/>
        </w:r>
        <w:r w:rsidR="003211EA">
          <w:rPr>
            <w:webHidden/>
          </w:rPr>
          <w:instrText xml:space="preserve"> PAGEREF _Toc484085302 \h </w:instrText>
        </w:r>
        <w:r w:rsidR="003211EA">
          <w:rPr>
            <w:webHidden/>
          </w:rPr>
        </w:r>
        <w:r w:rsidR="003211EA">
          <w:rPr>
            <w:webHidden/>
          </w:rPr>
          <w:fldChar w:fldCharType="separate"/>
        </w:r>
        <w:r w:rsidR="003211EA">
          <w:rPr>
            <w:webHidden/>
          </w:rPr>
          <w:t>42</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303" w:history="1">
        <w:r w:rsidR="003211EA" w:rsidRPr="00045374">
          <w:rPr>
            <w:rStyle w:val="Hyperlink"/>
          </w:rPr>
          <w:t>Appendix C</w:t>
        </w:r>
        <w:r w:rsidR="003211EA">
          <w:rPr>
            <w:rFonts w:asciiTheme="minorHAnsi" w:eastAsiaTheme="minorEastAsia" w:hAnsiTheme="minorHAnsi" w:cstheme="minorBidi"/>
            <w:b w:val="0"/>
            <w:snapToGrid/>
            <w:kern w:val="0"/>
            <w:szCs w:val="22"/>
          </w:rPr>
          <w:tab/>
        </w:r>
        <w:r w:rsidR="003211EA" w:rsidRPr="00045374">
          <w:rPr>
            <w:rStyle w:val="Hyperlink"/>
          </w:rPr>
          <w:t>Listing of federation services</w:t>
        </w:r>
        <w:r w:rsidR="003211EA">
          <w:rPr>
            <w:webHidden/>
          </w:rPr>
          <w:tab/>
        </w:r>
        <w:r w:rsidR="003211EA">
          <w:rPr>
            <w:webHidden/>
          </w:rPr>
          <w:fldChar w:fldCharType="begin"/>
        </w:r>
        <w:r w:rsidR="003211EA">
          <w:rPr>
            <w:webHidden/>
          </w:rPr>
          <w:instrText xml:space="preserve"> PAGEREF _Toc484085303 \h </w:instrText>
        </w:r>
        <w:r w:rsidR="003211EA">
          <w:rPr>
            <w:webHidden/>
          </w:rPr>
        </w:r>
        <w:r w:rsidR="003211EA">
          <w:rPr>
            <w:webHidden/>
          </w:rPr>
          <w:fldChar w:fldCharType="separate"/>
        </w:r>
        <w:r w:rsidR="003211EA">
          <w:rPr>
            <w:webHidden/>
          </w:rPr>
          <w:t>43</w:t>
        </w:r>
        <w:r w:rsidR="003211EA">
          <w:rPr>
            <w:webHidden/>
          </w:rPr>
          <w:fldChar w:fldCharType="end"/>
        </w:r>
      </w:hyperlink>
    </w:p>
    <w:p w:rsidR="003211EA" w:rsidRDefault="007928FC">
      <w:pPr>
        <w:pStyle w:val="TOC1"/>
        <w:rPr>
          <w:rFonts w:asciiTheme="minorHAnsi" w:eastAsiaTheme="minorEastAsia" w:hAnsiTheme="minorHAnsi" w:cstheme="minorBidi"/>
          <w:b w:val="0"/>
          <w:snapToGrid/>
          <w:kern w:val="0"/>
          <w:szCs w:val="22"/>
        </w:rPr>
      </w:pPr>
      <w:hyperlink w:anchor="_Toc484085304" w:history="1">
        <w:r w:rsidR="003211EA" w:rsidRPr="00045374">
          <w:rPr>
            <w:rStyle w:val="Hyperlink"/>
          </w:rPr>
          <w:t>Appendix D</w:t>
        </w:r>
        <w:r w:rsidR="003211EA">
          <w:rPr>
            <w:rFonts w:asciiTheme="minorHAnsi" w:eastAsiaTheme="minorEastAsia" w:hAnsiTheme="minorHAnsi" w:cstheme="minorBidi"/>
            <w:b w:val="0"/>
            <w:snapToGrid/>
            <w:kern w:val="0"/>
            <w:szCs w:val="22"/>
          </w:rPr>
          <w:tab/>
        </w:r>
        <w:r w:rsidR="003211EA" w:rsidRPr="00045374">
          <w:rPr>
            <w:rStyle w:val="Hyperlink"/>
          </w:rPr>
          <w:t>Terms and Acronyms</w:t>
        </w:r>
        <w:r w:rsidR="003211EA">
          <w:rPr>
            <w:webHidden/>
          </w:rPr>
          <w:tab/>
        </w:r>
        <w:r w:rsidR="003211EA">
          <w:rPr>
            <w:webHidden/>
          </w:rPr>
          <w:fldChar w:fldCharType="begin"/>
        </w:r>
        <w:r w:rsidR="003211EA">
          <w:rPr>
            <w:webHidden/>
          </w:rPr>
          <w:instrText xml:space="preserve"> PAGEREF _Toc484085304 \h </w:instrText>
        </w:r>
        <w:r w:rsidR="003211EA">
          <w:rPr>
            <w:webHidden/>
          </w:rPr>
        </w:r>
        <w:r w:rsidR="003211EA">
          <w:rPr>
            <w:webHidden/>
          </w:rPr>
          <w:fldChar w:fldCharType="separate"/>
        </w:r>
        <w:r w:rsidR="003211EA">
          <w:rPr>
            <w:webHidden/>
          </w:rPr>
          <w:t>45</w:t>
        </w:r>
        <w:r w:rsidR="003211EA">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Default="00AD0A26" w:rsidP="00766CCB">
      <w:pPr>
        <w:rPr>
          <w:noProof/>
          <w:snapToGrid w:val="0"/>
        </w:rPr>
      </w:pP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Default="00FF3EF6" w:rsidP="00B12183">
      <w:pPr>
        <w:pStyle w:val="Heading1"/>
      </w:pPr>
      <w:bookmarkStart w:id="0" w:name="_Toc484085278"/>
      <w:bookmarkStart w:id="1" w:name="_Ref214338390"/>
      <w:r w:rsidRPr="00B12183">
        <w:lastRenderedPageBreak/>
        <w:t>Introduction</w:t>
      </w:r>
      <w:bookmarkEnd w:id="0"/>
      <w:r w:rsidRPr="00B12183">
        <w:t xml:space="preserve"> </w:t>
      </w:r>
    </w:p>
    <w:p w:rsidR="006A6213" w:rsidRPr="00277A6A" w:rsidRDefault="006A6213" w:rsidP="006A6213">
      <w:pPr>
        <w:pStyle w:val="BodyText1"/>
      </w:pPr>
      <w:r w:rsidRPr="00277A6A">
        <w:t xml:space="preserve">The scope of </w:t>
      </w:r>
      <w:r>
        <w:t>i</w:t>
      </w:r>
      <w:r w:rsidRPr="00277A6A">
        <w:t xml:space="preserve">dentity is multifaceted, affects many aspects of the business of government, and is a much a more complex construct than usually anticipated. </w:t>
      </w:r>
    </w:p>
    <w:p w:rsidR="006A6213" w:rsidRPr="00277A6A" w:rsidRDefault="006A6213" w:rsidP="006A6213">
      <w:pPr>
        <w:pStyle w:val="BodyText1"/>
      </w:pPr>
      <w:r w:rsidRPr="00277A6A">
        <w:t>Identity is the starting point of trust and confidence in interactions between the public and government; it is a critical enabler of service delivery, security, privacy and public safety activities; and it is at the heart of the public administration and most government business processes</w:t>
      </w:r>
      <w:r w:rsidRPr="00EA0DC8">
        <w:rPr>
          <w:rStyle w:val="EndnoteReference"/>
        </w:rPr>
        <w:endnoteReference w:id="1"/>
      </w:r>
      <w:r w:rsidRPr="00277A6A">
        <w:t>.</w:t>
      </w:r>
    </w:p>
    <w:p w:rsidR="006A6213" w:rsidRPr="006A6213" w:rsidRDefault="006A6213" w:rsidP="006A6213">
      <w:pPr>
        <w:pStyle w:val="BodyText"/>
      </w:pPr>
      <w:r w:rsidRPr="00277A6A">
        <w:t>In recent years, the need for portable and trusted identities has never been stronger</w:t>
      </w:r>
    </w:p>
    <w:p w:rsidR="00CA72BA" w:rsidRPr="00B12183" w:rsidRDefault="00FF3EF6" w:rsidP="00B12183">
      <w:pPr>
        <w:pStyle w:val="Heading2"/>
      </w:pPr>
      <w:bookmarkStart w:id="2" w:name="_Toc484085279"/>
      <w:bookmarkEnd w:id="1"/>
      <w:r w:rsidRPr="00B12183">
        <w:t>Purpose</w:t>
      </w:r>
      <w:bookmarkEnd w:id="2"/>
    </w:p>
    <w:p w:rsidR="006A6213" w:rsidRPr="00277A6A" w:rsidRDefault="006A6213" w:rsidP="006A6213">
      <w:pPr>
        <w:pStyle w:val="BodyText1"/>
        <w:rPr>
          <w:rStyle w:val="normaltextrun"/>
        </w:rPr>
      </w:pPr>
      <w:r w:rsidRPr="00277A6A">
        <w:rPr>
          <w:rStyle w:val="normaltextrun"/>
        </w:rPr>
        <w:t>The purpose of this document is to outline a blueprint for a modern federated identity architecture and ecosystem to support digital government.</w:t>
      </w:r>
      <w:r>
        <w:rPr>
          <w:rStyle w:val="normaltextrun"/>
        </w:rPr>
        <w:t xml:space="preserve"> </w:t>
      </w:r>
    </w:p>
    <w:p w:rsidR="009E4138" w:rsidRDefault="006A6213" w:rsidP="006A6213">
      <w:pPr>
        <w:pStyle w:val="BodyText1"/>
      </w:pPr>
      <w:r w:rsidRPr="00277A6A">
        <w:t xml:space="preserve">It provides an interoperability framework to assist departments in implementing trusted identity management practices that support the </w:t>
      </w:r>
      <w:r w:rsidRPr="00277A6A">
        <w:rPr>
          <w:b/>
        </w:rPr>
        <w:t>sharing of assurances of credential or identity</w:t>
      </w:r>
      <w:r w:rsidRPr="00277A6A">
        <w:t>.</w:t>
      </w:r>
    </w:p>
    <w:p w:rsidR="00CA72BA" w:rsidRDefault="006A6213" w:rsidP="00B12183">
      <w:pPr>
        <w:pStyle w:val="Heading2"/>
      </w:pPr>
      <w:bookmarkStart w:id="3" w:name="_Toc484085280"/>
      <w:r>
        <w:t>Scope</w:t>
      </w:r>
      <w:bookmarkEnd w:id="3"/>
      <w:r w:rsidR="00CA72BA">
        <w:t xml:space="preserve"> </w:t>
      </w:r>
    </w:p>
    <w:p w:rsidR="006A6213" w:rsidRPr="00D87203" w:rsidRDefault="006A6213" w:rsidP="006A6213">
      <w:r w:rsidRPr="00D87203">
        <w:t>The Federated identity blueprint outlines a set of: </w:t>
      </w:r>
    </w:p>
    <w:p w:rsidR="006A6213" w:rsidRPr="00D87203" w:rsidRDefault="006A6213" w:rsidP="006A6213">
      <w:pPr>
        <w:pStyle w:val="Bullet1"/>
      </w:pPr>
      <w:r w:rsidRPr="00D87203">
        <w:t>common principles </w:t>
      </w:r>
    </w:p>
    <w:p w:rsidR="006A6213" w:rsidRPr="00D87203" w:rsidRDefault="006A6213" w:rsidP="006A6213">
      <w:pPr>
        <w:pStyle w:val="Bullet1"/>
      </w:pPr>
      <w:r w:rsidRPr="00D87203">
        <w:t>use cases and scenarios for federated identity </w:t>
      </w:r>
    </w:p>
    <w:p w:rsidR="006A6213" w:rsidRPr="00D87203" w:rsidRDefault="006A6213" w:rsidP="006A6213">
      <w:pPr>
        <w:pStyle w:val="Bullet1"/>
      </w:pPr>
      <w:r w:rsidRPr="00D87203">
        <w:t>an information and entity relationship model </w:t>
      </w:r>
    </w:p>
    <w:p w:rsidR="006A6213" w:rsidRPr="00D87203" w:rsidRDefault="006A6213" w:rsidP="006A6213">
      <w:pPr>
        <w:pStyle w:val="Bullet1"/>
      </w:pPr>
      <w:r w:rsidRPr="00D87203">
        <w:t>process and functional models for federated authentication, authorisation and attribute exchange</w:t>
      </w:r>
    </w:p>
    <w:p w:rsidR="006A6213" w:rsidRPr="00D87203" w:rsidRDefault="006A6213" w:rsidP="006A6213">
      <w:pPr>
        <w:pStyle w:val="Bullet1"/>
      </w:pPr>
      <w:r w:rsidRPr="00D87203">
        <w:t>a blueprint of the landscape for customer, client and staff identity</w:t>
      </w:r>
    </w:p>
    <w:p w:rsidR="006A6213" w:rsidRPr="00D87203" w:rsidRDefault="006A6213" w:rsidP="006A6213">
      <w:pPr>
        <w:pStyle w:val="Bullet1"/>
      </w:pPr>
      <w:r w:rsidRPr="00D87203">
        <w:t>architectural patterns, options and practices</w:t>
      </w:r>
    </w:p>
    <w:p w:rsidR="006A6213" w:rsidRPr="00D87203" w:rsidRDefault="006A6213" w:rsidP="006A6213">
      <w:pPr>
        <w:pStyle w:val="Bullet1"/>
      </w:pPr>
      <w:r w:rsidRPr="00D87203">
        <w:t>a decision framework and processes for establishing identity federation across domains </w:t>
      </w:r>
    </w:p>
    <w:p w:rsidR="006A6213" w:rsidRPr="00D87203" w:rsidRDefault="006A6213" w:rsidP="006A6213">
      <w:pPr>
        <w:pStyle w:val="Bullet1"/>
      </w:pPr>
      <w:r w:rsidRPr="00D87203">
        <w:t xml:space="preserve">standards and protocol considerations to improve interoperability. </w:t>
      </w:r>
    </w:p>
    <w:p w:rsidR="006A6213" w:rsidRPr="00D87203" w:rsidRDefault="006A6213" w:rsidP="006A6213">
      <w:r w:rsidRPr="00D87203">
        <w:t>The blueprint focuses on the federation of identities (identity assurance) and credentials (credential assurance) across multiple domains. It is not necessarily concerned with the operation of individual identity providers (e.g. for departmental employee, customer, client identity management systems) outside the need for those providers to meet minimum requirements to operate within a wider federated ecosystem.</w:t>
      </w:r>
    </w:p>
    <w:p w:rsidR="006A6213" w:rsidRPr="00D87203" w:rsidRDefault="006A6213" w:rsidP="006A6213">
      <w:r w:rsidRPr="00D87203">
        <w:t xml:space="preserve">The Queensland Government Chief Information Office has provided longstanding guidance though the </w:t>
      </w:r>
      <w:hyperlink r:id="rId17" w:history="1">
        <w:r w:rsidRPr="00D87203">
          <w:rPr>
            <w:rStyle w:val="Hyperlink"/>
          </w:rPr>
          <w:t>Queensland Government Authentication Framework (QGAF)</w:t>
        </w:r>
      </w:hyperlink>
      <w:r w:rsidRPr="00D87203">
        <w:t xml:space="preserve"> in relation to the following: </w:t>
      </w:r>
    </w:p>
    <w:p w:rsidR="006A6213" w:rsidRPr="00D87203" w:rsidRDefault="006A6213" w:rsidP="006A6213">
      <w:pPr>
        <w:pStyle w:val="Bullet1"/>
      </w:pPr>
      <w:r w:rsidRPr="00D87203">
        <w:t>assessing identity risk guidelines and assessments</w:t>
      </w:r>
    </w:p>
    <w:p w:rsidR="006A6213" w:rsidRPr="00D87203" w:rsidRDefault="006A6213" w:rsidP="006A6213">
      <w:pPr>
        <w:pStyle w:val="Bullet1"/>
      </w:pPr>
      <w:r w:rsidRPr="00D87203">
        <w:t>identity registration guidelines and assessments</w:t>
      </w:r>
    </w:p>
    <w:p w:rsidR="00CA72BA" w:rsidRDefault="006A6213" w:rsidP="000C416E">
      <w:pPr>
        <w:pStyle w:val="Bullet1"/>
      </w:pPr>
      <w:r w:rsidRPr="00D87203">
        <w:t>identity credential management guidelines and assessments.</w:t>
      </w:r>
    </w:p>
    <w:p w:rsidR="006A6213" w:rsidRDefault="006A6213" w:rsidP="006A6213">
      <w:pPr>
        <w:pStyle w:val="Heading2"/>
      </w:pPr>
      <w:bookmarkStart w:id="4" w:name="_Toc484085281"/>
      <w:r>
        <w:t>Document structure</w:t>
      </w:r>
      <w:bookmarkEnd w:id="4"/>
    </w:p>
    <w:p w:rsidR="006A6213" w:rsidRPr="00D87203" w:rsidRDefault="006A6213" w:rsidP="006A6213">
      <w:r w:rsidRPr="00D87203">
        <w:t>This document provides an overview of the Queensland Government’s blueprint for federated identity, which is also consists of several supporting documents to aid readability.</w:t>
      </w:r>
    </w:p>
    <w:p w:rsidR="006A6213" w:rsidRPr="00D87203" w:rsidRDefault="006A6213" w:rsidP="006A6213">
      <w:r w:rsidRPr="00D87203">
        <w:object w:dxaOrig="5869" w:dyaOrig="3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84.5pt" o:ole="">
            <v:imagedata r:id="rId18" o:title=""/>
          </v:shape>
          <o:OLEObject Type="Embed" ProgID="Visio.Drawing.15" ShapeID="_x0000_i1025" DrawAspect="Content" ObjectID="_1558186731" r:id="rId19"/>
        </w:object>
      </w:r>
    </w:p>
    <w:p w:rsidR="006A6213" w:rsidRPr="00D87203" w:rsidRDefault="006A6213" w:rsidP="006A6213">
      <w:r w:rsidRPr="00D87203">
        <w:t>Each document is as follows:</w:t>
      </w:r>
    </w:p>
    <w:p w:rsidR="006A6213" w:rsidRPr="00D87203" w:rsidRDefault="006A6213" w:rsidP="006A6213">
      <w:pPr>
        <w:pStyle w:val="Bullet1"/>
      </w:pPr>
      <w:r w:rsidRPr="00D87203">
        <w:t>a pattern library containing common patterns and anti-patterns to support application authentication, API authorisation, federation between identity providers, integration with authoritative sources of truth and linking of identities between systems</w:t>
      </w:r>
    </w:p>
    <w:p w:rsidR="006A6213" w:rsidRPr="00D87203" w:rsidRDefault="006A6213" w:rsidP="006A6213">
      <w:pPr>
        <w:pStyle w:val="Bullet1"/>
      </w:pPr>
      <w:r w:rsidRPr="00D87203">
        <w:t>standards for providers of identity, credential and attribute and relying parties within the Queensland Government, including protocol considerations to improve interoperability</w:t>
      </w:r>
    </w:p>
    <w:p w:rsidR="006A6213" w:rsidRPr="00D87203" w:rsidRDefault="006A6213" w:rsidP="006A6213">
      <w:pPr>
        <w:pStyle w:val="Bullet1"/>
      </w:pPr>
      <w:r w:rsidRPr="00D87203">
        <w:t>example information and entity relationship models for four common types of identities - persons (individuals), organisations, devices and resources</w:t>
      </w:r>
    </w:p>
    <w:p w:rsidR="006A6213" w:rsidRPr="00D87203" w:rsidRDefault="006A6213" w:rsidP="006A6213">
      <w:pPr>
        <w:pStyle w:val="Bullet1"/>
      </w:pPr>
      <w:r w:rsidRPr="00D87203">
        <w:t>process and functional models illustrating federated authentication, delegated authorisation or identity attribute exchange</w:t>
      </w:r>
    </w:p>
    <w:p w:rsidR="006A6213" w:rsidRDefault="006A6213" w:rsidP="006A6213">
      <w:pPr>
        <w:pStyle w:val="Bullet1"/>
      </w:pPr>
      <w:r w:rsidRPr="00D87203">
        <w:t>a decision framework methodology which outlines a process to establish models for federated authentication, delegated authorisation or identity attribute exchange</w:t>
      </w:r>
      <w:r>
        <w:t>.</w:t>
      </w:r>
    </w:p>
    <w:p w:rsidR="006A6213" w:rsidRDefault="006A6213" w:rsidP="006A6213">
      <w:pPr>
        <w:pStyle w:val="Heading2"/>
      </w:pPr>
      <w:bookmarkStart w:id="5" w:name="_Toc484085282"/>
      <w:r>
        <w:t>Objectives</w:t>
      </w:r>
      <w:bookmarkEnd w:id="5"/>
    </w:p>
    <w:p w:rsidR="006A6213" w:rsidRPr="00D87203" w:rsidRDefault="006A6213" w:rsidP="006A6213">
      <w:r w:rsidRPr="00D87203">
        <w:t xml:space="preserve">The expected outcomes of implementing this blueprint is as follows: </w:t>
      </w:r>
    </w:p>
    <w:p w:rsidR="006A6213" w:rsidRPr="00D87203" w:rsidRDefault="006A6213" w:rsidP="006A6213">
      <w:pPr>
        <w:pStyle w:val="Numberlist1"/>
      </w:pPr>
      <w:r w:rsidRPr="00D87203">
        <w:t xml:space="preserve">Identity risk is actively assessed and integrated into departmental business risk management practices, and departments implement business processes and controls for managing identity commensurate with assurance requirements and business risk. </w:t>
      </w:r>
    </w:p>
    <w:p w:rsidR="006A6213" w:rsidRPr="00D87203" w:rsidRDefault="006A6213" w:rsidP="006A6213">
      <w:pPr>
        <w:pStyle w:val="Numberlist1"/>
      </w:pPr>
      <w:r w:rsidRPr="00D87203">
        <w:t>Where appropriate, departments participate in arrangements for federated identity</w:t>
      </w:r>
      <w:r w:rsidRPr="00D87203">
        <w:footnoteReference w:id="2"/>
      </w:r>
      <w:r w:rsidRPr="00D87203">
        <w:t>:</w:t>
      </w:r>
    </w:p>
    <w:p w:rsidR="006A6213" w:rsidRPr="00D87203" w:rsidRDefault="006A6213" w:rsidP="006A6213">
      <w:pPr>
        <w:pStyle w:val="Numberlist2"/>
      </w:pPr>
      <w:r w:rsidRPr="00D87203">
        <w:t>to meet identity and credential assurance requirements by relying on (accepting) identity and credential assurance processes that have been carried out by other departments, jurisdictions and industry sectors</w:t>
      </w:r>
    </w:p>
    <w:p w:rsidR="006A6213" w:rsidRPr="00D87203" w:rsidRDefault="006A6213" w:rsidP="006A6213">
      <w:pPr>
        <w:pStyle w:val="Numberlist2"/>
      </w:pPr>
      <w:r w:rsidRPr="00D87203">
        <w:t>to aid other departments, jurisdictions and industry sectors service delivery through the responsible reuse and sharing of established identities, verification information and credential assurances in an interoperable format.</w:t>
      </w:r>
    </w:p>
    <w:p w:rsidR="006A6213" w:rsidRPr="00D87203" w:rsidRDefault="006A6213" w:rsidP="006A6213">
      <w:pPr>
        <w:pStyle w:val="Numberlist1"/>
      </w:pPr>
      <w:r w:rsidRPr="00D87203">
        <w:t>Over time, build consensus through mutually respected assurances of credential or identity, risk moderation, and accountabilities.</w:t>
      </w:r>
    </w:p>
    <w:p w:rsidR="006A6213" w:rsidRDefault="006A6213" w:rsidP="006A6213">
      <w:pPr>
        <w:pStyle w:val="Heading2"/>
      </w:pPr>
      <w:bookmarkStart w:id="6" w:name="_Toc484085283"/>
      <w:r>
        <w:lastRenderedPageBreak/>
        <w:t>Vision</w:t>
      </w:r>
      <w:bookmarkEnd w:id="6"/>
    </w:p>
    <w:p w:rsidR="006A6213" w:rsidRPr="00D87203" w:rsidRDefault="006A6213" w:rsidP="006A6213">
      <w:r w:rsidRPr="00D87203">
        <w:t>Queensland Government’s vision for an identity ecosystem is a federation of organisations across public jurisdictions and private sector delivery partners who trust each other’s assurances of identity. This includes government agencies, other jurisdictions, non-government organisations, hospitals, schools, and digital customer identity providers and possibly in the future, financial or telecommunications institutions.</w:t>
      </w:r>
    </w:p>
    <w:p w:rsidR="006A6213" w:rsidRPr="00D87203" w:rsidRDefault="006A6213" w:rsidP="006A6213">
      <w:r w:rsidRPr="00D87203">
        <w:rPr>
          <w:noProof/>
          <w:lang w:eastAsia="en-AU"/>
        </w:rPr>
        <w:drawing>
          <wp:inline distT="0" distB="0" distL="0" distR="0" wp14:anchorId="0F0DCE97" wp14:editId="1FBB37AC">
            <wp:extent cx="5810247" cy="33813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3111" cy="3481976"/>
                    </a:xfrm>
                    <a:prstGeom prst="rect">
                      <a:avLst/>
                    </a:prstGeom>
                  </pic:spPr>
                </pic:pic>
              </a:graphicData>
            </a:graphic>
          </wp:inline>
        </w:drawing>
      </w:r>
    </w:p>
    <w:p w:rsidR="006A6213" w:rsidRPr="00D87203" w:rsidRDefault="006A6213" w:rsidP="006A6213">
      <w:r w:rsidRPr="00D87203">
        <w:t>The ability to readily convey trusted identity information across this ecosystem to key to supporting interoperability and seamless service delivery:</w:t>
      </w:r>
    </w:p>
    <w:p w:rsidR="006A6213" w:rsidRPr="00D87203" w:rsidRDefault="006A6213" w:rsidP="006A6213">
      <w:pPr>
        <w:pStyle w:val="Bullet1"/>
      </w:pPr>
      <w:r w:rsidRPr="00D87203">
        <w:t>within the internal government community</w:t>
      </w:r>
    </w:p>
    <w:p w:rsidR="006A6213" w:rsidRPr="00D87203" w:rsidRDefault="006A6213" w:rsidP="006A6213">
      <w:pPr>
        <w:pStyle w:val="Bullet1"/>
      </w:pPr>
      <w:r w:rsidRPr="00D87203">
        <w:t>with other governmental jurisdictions</w:t>
      </w:r>
    </w:p>
    <w:p w:rsidR="006A6213" w:rsidRPr="00D87203" w:rsidRDefault="006A6213" w:rsidP="006A6213">
      <w:pPr>
        <w:pStyle w:val="Bullet1"/>
      </w:pPr>
      <w:r w:rsidRPr="00D87203">
        <w:t>with other external service delivery partners</w:t>
      </w:r>
    </w:p>
    <w:p w:rsidR="006A6213" w:rsidRPr="00D87203" w:rsidRDefault="006A6213" w:rsidP="006A6213">
      <w:pPr>
        <w:pStyle w:val="Bullet1"/>
      </w:pPr>
      <w:r w:rsidRPr="00D87203">
        <w:t>with Queenslanders.</w:t>
      </w:r>
    </w:p>
    <w:p w:rsidR="006A6213" w:rsidRPr="006A6213" w:rsidRDefault="006A6213" w:rsidP="006A6213">
      <w:pPr>
        <w:pStyle w:val="BodyText"/>
      </w:pPr>
      <w:r w:rsidRPr="00D87203">
        <w:t>The boundaries between departments and jurisdictions should become more transparent over time which results in reduced costs associated with service delivery, improved transparency and increased client satisfaction. A federated model also provides customers which greater choices regarding which credentials and identities to use to access government services (must be recognised throughout the federation).</w:t>
      </w:r>
    </w:p>
    <w:p w:rsidR="00CA72BA" w:rsidRDefault="006A6213" w:rsidP="00B12183">
      <w:pPr>
        <w:pStyle w:val="Heading2"/>
      </w:pPr>
      <w:bookmarkStart w:id="7" w:name="_Toc484085284"/>
      <w:r>
        <w:t>Principles</w:t>
      </w:r>
      <w:bookmarkEnd w:id="7"/>
    </w:p>
    <w:p w:rsidR="006A6213" w:rsidRPr="00D87203" w:rsidRDefault="006A6213" w:rsidP="006A6213">
      <w:r w:rsidRPr="00D87203">
        <w:t>The following principles underpin this blueprint model and are to guide the implementation of a federated identity ecosystem:</w:t>
      </w:r>
    </w:p>
    <w:p w:rsidR="006A6213" w:rsidRPr="00D87203" w:rsidRDefault="006A6213" w:rsidP="006A6213">
      <w:pPr>
        <w:pStyle w:val="Bullet1"/>
      </w:pPr>
      <w:r w:rsidRPr="006A6213">
        <w:rPr>
          <w:b/>
        </w:rPr>
        <w:t>Federated</w:t>
      </w:r>
      <w:r w:rsidRPr="00D87203">
        <w:t xml:space="preserve"> – a federated model is analogous with how the Queensland Government is structured. It:</w:t>
      </w:r>
    </w:p>
    <w:p w:rsidR="006A6213" w:rsidRPr="00D87203" w:rsidRDefault="006A6213" w:rsidP="006A6213">
      <w:pPr>
        <w:pStyle w:val="Bullet2"/>
      </w:pPr>
      <w:r w:rsidRPr="00D87203">
        <w:t>provides the ability for departments to adopt solutions that best meet their specific needs while still allowing them to interact and exchange information (federate)</w:t>
      </w:r>
    </w:p>
    <w:p w:rsidR="006A6213" w:rsidRPr="00D87203" w:rsidRDefault="006A6213" w:rsidP="006A6213">
      <w:pPr>
        <w:pStyle w:val="Bullet2"/>
      </w:pPr>
      <w:r w:rsidRPr="00D87203">
        <w:t xml:space="preserve">allows identity to scale beyond a single organisation, government jurisdictions, industry sectors, and internationally </w:t>
      </w:r>
    </w:p>
    <w:p w:rsidR="006A6213" w:rsidRPr="00D87203" w:rsidRDefault="006A6213" w:rsidP="006A6213">
      <w:pPr>
        <w:pStyle w:val="Bullet2"/>
      </w:pPr>
      <w:r w:rsidRPr="00D87203">
        <w:lastRenderedPageBreak/>
        <w:t>allows attestations for particular identity attributes by other organisations, governmental jurisdictions, third parties which are authoritative and hold up to date information</w:t>
      </w:r>
    </w:p>
    <w:p w:rsidR="006A6213" w:rsidRPr="00D87203" w:rsidRDefault="006A6213" w:rsidP="006A6213">
      <w:pPr>
        <w:pStyle w:val="Bullet2"/>
      </w:pPr>
      <w:r w:rsidRPr="00D87203">
        <w:t>customer choice as to which trusted party they can use to prove their identity regardless of which service they access</w:t>
      </w:r>
    </w:p>
    <w:p w:rsidR="006A6213" w:rsidRPr="00D87203" w:rsidRDefault="006A6213" w:rsidP="006A6213">
      <w:pPr>
        <w:pStyle w:val="Bullet2"/>
      </w:pPr>
      <w:r w:rsidRPr="00D87203">
        <w:t>avoids some of the risks associated centralised storages.</w:t>
      </w:r>
    </w:p>
    <w:p w:rsidR="006A6213" w:rsidRPr="00D87203" w:rsidRDefault="006A6213" w:rsidP="006A6213">
      <w:pPr>
        <w:pStyle w:val="Bullet1"/>
      </w:pPr>
      <w:r w:rsidRPr="006A6213">
        <w:rPr>
          <w:b/>
        </w:rPr>
        <w:t>Flexibility</w:t>
      </w:r>
      <w:r w:rsidRPr="00D87203">
        <w:t xml:space="preserve"> - Most departments have at least one, if not multiple use cases for implementing federated identity. There is no single model that will work for all. Different requirements justify different solutions.</w:t>
      </w:r>
    </w:p>
    <w:p w:rsidR="006A6213" w:rsidRPr="00D87203" w:rsidRDefault="006A6213" w:rsidP="006A6213">
      <w:pPr>
        <w:pStyle w:val="Bullet1"/>
      </w:pPr>
      <w:r w:rsidRPr="006A6213">
        <w:rPr>
          <w:b/>
        </w:rPr>
        <w:t>Incremental approach</w:t>
      </w:r>
      <w:r w:rsidRPr="00D87203">
        <w:t xml:space="preserve"> – This blueprint does not prescribe particular solutions, but rather provides a framework to enable departments to create secure, convenient and privacy enhancing solutions which can respond to changing business requirements.</w:t>
      </w:r>
    </w:p>
    <w:p w:rsidR="006A6213" w:rsidRPr="00D87203" w:rsidRDefault="006A6213" w:rsidP="006A6213">
      <w:pPr>
        <w:pStyle w:val="Bullet1"/>
      </w:pPr>
      <w:r w:rsidRPr="006A6213">
        <w:rPr>
          <w:b/>
        </w:rPr>
        <w:t>Risk management</w:t>
      </w:r>
      <w:r w:rsidRPr="00D87203">
        <w:t xml:space="preserve"> – Central to a federated model is the recognition that selecting the degree of identity assurance appropriate for trusted transactions is determined by an accountable business owner consummate with business risk. The relying party is responsible and has the accountability for ensuring they are dealing with the intended client.</w:t>
      </w:r>
    </w:p>
    <w:p w:rsidR="006A6213" w:rsidRPr="00D87203" w:rsidRDefault="006A6213" w:rsidP="006A6213">
      <w:pPr>
        <w:pStyle w:val="Bullet1"/>
      </w:pPr>
      <w:r w:rsidRPr="006A6213">
        <w:rPr>
          <w:b/>
        </w:rPr>
        <w:t>Trust</w:t>
      </w:r>
      <w:r w:rsidRPr="00D87203">
        <w:t xml:space="preserve"> – Trust is central to the decisions about how an identity can be used and who can rely upon it. It’s important to remember that not all identities are created equal. Addressing trust is critical to enable different parties to rely upon (i.e. trust) one another’s assurances of credential or identity. While trust arrangements between parties exist today (albeit informal federation based upon accepted practice or in some cases, convenience</w:t>
      </w:r>
      <w:r w:rsidRPr="00D87203">
        <w:endnoteReference w:id="2"/>
      </w:r>
      <w:r w:rsidRPr="00D87203">
        <w:t>), a more formalised approach for federation of digital identity is required.</w:t>
      </w:r>
    </w:p>
    <w:p w:rsidR="006A6213" w:rsidRPr="00D87203" w:rsidRDefault="006A6213" w:rsidP="006A6213">
      <w:pPr>
        <w:pStyle w:val="Bullet1"/>
      </w:pPr>
      <w:r w:rsidRPr="006A6213">
        <w:rPr>
          <w:b/>
        </w:rPr>
        <w:t>Customer experience</w:t>
      </w:r>
      <w:r w:rsidRPr="00D87203">
        <w:t xml:space="preserve"> – Portability of identity is key to enabling a seamless customer experience between services, across delivery channels, the Queensland public sector and partner services. This avoids the need for each party to independently credential and proof the same customer time again. Customers are generally seeking a consistent experience across services, without the need to provide personal information repeatedly and have more choice in terms of what information they reveal to whom and when.</w:t>
      </w:r>
    </w:p>
    <w:p w:rsidR="006A6213" w:rsidRPr="00D87203" w:rsidRDefault="006A6213" w:rsidP="006A6213">
      <w:pPr>
        <w:pStyle w:val="Bullet1"/>
      </w:pPr>
      <w:r w:rsidRPr="006A6213">
        <w:rPr>
          <w:b/>
        </w:rPr>
        <w:t>Interoperability</w:t>
      </w:r>
      <w:r w:rsidRPr="00D87203">
        <w:t xml:space="preserve"> - A lack of interoperability produces silos of identity information and access control. When structured like this, the value of an identity is lost across boundaries. Queensland’s digital identity ecosystem must be able to interact and exchange information with many differing systems across federated parities to support the sharing of assurances of credential or identity.</w:t>
      </w:r>
    </w:p>
    <w:p w:rsidR="006A6213" w:rsidRPr="00D87203" w:rsidRDefault="006A6213" w:rsidP="006A6213">
      <w:pPr>
        <w:pStyle w:val="Bullet1"/>
      </w:pPr>
      <w:r w:rsidRPr="006A6213">
        <w:rPr>
          <w:b/>
        </w:rPr>
        <w:t>Standards</w:t>
      </w:r>
      <w:r w:rsidRPr="00D87203">
        <w:t xml:space="preserve"> - Given the horizontal nature of identity, common agreement as to the standards and technologies which enable the exchange of identity, credential and entitlement information across boundaries is required.</w:t>
      </w:r>
    </w:p>
    <w:p w:rsidR="006A6213" w:rsidRPr="00D87203" w:rsidRDefault="006A6213" w:rsidP="006A6213">
      <w:pPr>
        <w:pStyle w:val="Bullet1"/>
      </w:pPr>
      <w:r w:rsidRPr="006A6213">
        <w:rPr>
          <w:b/>
        </w:rPr>
        <w:t>Security</w:t>
      </w:r>
      <w:r w:rsidRPr="00D87203">
        <w:t xml:space="preserve"> – Queensland Government and trusted partners manage substantial amounts of personal information about citizens, clients, employees and organisations. This information needs to be appropriately safeguarded from loss, unauthorised access or use, destruction, modification, or unintended or inappropriate use and/or disclosure</w:t>
      </w:r>
      <w:r w:rsidRPr="00D87203">
        <w:endnoteReference w:id="3"/>
      </w:r>
      <w:r w:rsidRPr="00D87203">
        <w:t>.  There is a need to balance new customer expectations with the need to protect citizens against the threats of cyberspace, such as identity theft and online fraud.</w:t>
      </w:r>
    </w:p>
    <w:p w:rsidR="006A6213" w:rsidRPr="00D87203" w:rsidRDefault="006A6213" w:rsidP="006A6213">
      <w:pPr>
        <w:pStyle w:val="Bullet1"/>
      </w:pPr>
      <w:r w:rsidRPr="006A6213">
        <w:rPr>
          <w:b/>
        </w:rPr>
        <w:t>Privacy</w:t>
      </w:r>
      <w:r w:rsidRPr="00D87203">
        <w:t xml:space="preserve"> - Handling of personally identified information (PII) including collection, use, dissemination and maintenance should be transparent</w:t>
      </w:r>
      <w:r w:rsidRPr="00D87203">
        <w:endnoteReference w:id="4"/>
      </w:r>
      <w:r w:rsidRPr="00D87203">
        <w:t xml:space="preserve">. Modern digital solutions for customers provide the opportunity to enhance consumer privacy through individual participation, consent and control. A person may construct multiple identities as they </w:t>
      </w:r>
      <w:r w:rsidRPr="00D87203">
        <w:lastRenderedPageBreak/>
        <w:t xml:space="preserve">choose to carefully reveal or conceal personal information based on what they deem appropriate or minimum for a specific interaction and context to maintain privacy. </w:t>
      </w:r>
    </w:p>
    <w:p w:rsidR="006A6213" w:rsidRPr="00D87203" w:rsidRDefault="006A6213" w:rsidP="006A6213">
      <w:pPr>
        <w:pStyle w:val="Bullet1"/>
      </w:pPr>
      <w:r w:rsidRPr="006A6213">
        <w:rPr>
          <w:b/>
        </w:rPr>
        <w:t>Digital First</w:t>
      </w:r>
      <w:r w:rsidRPr="00D87203">
        <w:t xml:space="preserve"> - The methods of proving our identity remain locked in a traditional physical mode, based upon with paper or plastic documents</w:t>
      </w:r>
      <w:r w:rsidRPr="00D87203">
        <w:endnoteReference w:id="5"/>
      </w:r>
      <w:r w:rsidRPr="00D87203">
        <w:t>. This reliance on traditional modes of proving identification and authentication is becoming a significant barrier to innovation. The federation of digital identities is primarily concerned with communicating assurances of previous verifications (proofs).</w:t>
      </w:r>
    </w:p>
    <w:p w:rsidR="006A6213" w:rsidRPr="00D87203" w:rsidRDefault="006A6213" w:rsidP="006A6213">
      <w:pPr>
        <w:pStyle w:val="Bullet1"/>
      </w:pPr>
      <w:r w:rsidRPr="006A6213">
        <w:rPr>
          <w:b/>
        </w:rPr>
        <w:t>Policy</w:t>
      </w:r>
      <w:r w:rsidRPr="00D87203">
        <w:t xml:space="preserve"> - To support a federated model of identity, suitable policy instruments which ensure the adoption of coherent and interoperable identity management practices pertaining to identity proofing, information security and privacy, trust and assurance are required. Policy must also address the cultural, political, legal, and privacy and governance aspects associated with federation.</w:t>
      </w:r>
    </w:p>
    <w:p w:rsidR="006A6213" w:rsidRDefault="006A6213" w:rsidP="006A6213">
      <w:pPr>
        <w:pStyle w:val="Heading1"/>
      </w:pPr>
      <w:bookmarkStart w:id="8" w:name="_Toc484085285"/>
      <w:r>
        <w:t>Background</w:t>
      </w:r>
      <w:bookmarkEnd w:id="8"/>
    </w:p>
    <w:p w:rsidR="006A6213" w:rsidRDefault="006A6213" w:rsidP="006A6213">
      <w:pPr>
        <w:pStyle w:val="Heading2"/>
      </w:pPr>
      <w:bookmarkStart w:id="9" w:name="_Toc484085286"/>
      <w:r>
        <w:t>Federation roles</w:t>
      </w:r>
      <w:bookmarkEnd w:id="9"/>
    </w:p>
    <w:p w:rsidR="006A6213" w:rsidRPr="00D87203" w:rsidRDefault="006A6213" w:rsidP="006A6213">
      <w:pPr>
        <w:rPr>
          <w:rFonts w:eastAsiaTheme="minorHAnsi"/>
        </w:rPr>
      </w:pPr>
      <w:r w:rsidRPr="00D87203">
        <w:rPr>
          <w:rFonts w:eastAsiaTheme="minorHAnsi"/>
        </w:rPr>
        <w:t>Members or entities in a federation assume one or more federation roles. Each federation role can be independently operated, but is subject particular roles and responsibilities:</w:t>
      </w:r>
    </w:p>
    <w:tbl>
      <w:tblPr>
        <w:tblStyle w:val="TableGrid"/>
        <w:tblW w:w="0" w:type="auto"/>
        <w:tblInd w:w="709" w:type="dxa"/>
        <w:tblBorders>
          <w:top w:val="none" w:sz="0" w:space="0" w:color="auto"/>
          <w:left w:val="none" w:sz="0" w:space="0" w:color="auto"/>
          <w:bottom w:val="none" w:sz="0" w:space="0" w:color="auto"/>
          <w:right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843"/>
        <w:gridCol w:w="6377"/>
      </w:tblGrid>
      <w:tr w:rsidR="006A6213" w:rsidRPr="00D87203" w:rsidTr="00D21982">
        <w:tc>
          <w:tcPr>
            <w:tcW w:w="1843" w:type="dxa"/>
            <w:shd w:val="clear" w:color="auto" w:fill="auto"/>
            <w:vAlign w:val="center"/>
          </w:tcPr>
          <w:p w:rsidR="006A6213" w:rsidRPr="00D87203" w:rsidRDefault="006A6213" w:rsidP="00D21982">
            <w:pPr>
              <w:ind w:left="0"/>
            </w:pPr>
            <w:r w:rsidRPr="00D87203">
              <w:rPr>
                <w:noProof/>
                <w:lang w:eastAsia="en-AU"/>
              </w:rPr>
              <w:drawing>
                <wp:inline distT="0" distB="0" distL="0" distR="0" wp14:anchorId="1C124F7C" wp14:editId="057FFC80">
                  <wp:extent cx="899590" cy="9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srcRect l="-12" t="-34" r="-12" b="-34"/>
                          <a:stretch/>
                        </pic:blipFill>
                        <pic:spPr bwMode="auto">
                          <a:xfrm>
                            <a:off x="0" y="0"/>
                            <a:ext cx="900220" cy="900630"/>
                          </a:xfrm>
                          <a:prstGeom prst="rect">
                            <a:avLst/>
                          </a:prstGeom>
                          <a:ln>
                            <a:noFill/>
                          </a:ln>
                          <a:extLst>
                            <a:ext uri="{53640926-AAD7-44D8-BBD7-CCE9431645EC}">
                              <a14:shadowObscured xmlns:a14="http://schemas.microsoft.com/office/drawing/2010/main"/>
                            </a:ext>
                          </a:extLst>
                        </pic:spPr>
                      </pic:pic>
                    </a:graphicData>
                  </a:graphic>
                </wp:inline>
              </w:drawing>
            </w:r>
          </w:p>
        </w:tc>
        <w:tc>
          <w:tcPr>
            <w:tcW w:w="6377" w:type="dxa"/>
            <w:shd w:val="clear" w:color="auto" w:fill="auto"/>
          </w:tcPr>
          <w:p w:rsidR="006A6213" w:rsidRPr="00D21982" w:rsidRDefault="006A6213" w:rsidP="00D21982">
            <w:pPr>
              <w:ind w:left="0"/>
              <w:rPr>
                <w:b/>
              </w:rPr>
            </w:pPr>
            <w:r w:rsidRPr="00D21982">
              <w:rPr>
                <w:b/>
              </w:rPr>
              <w:t>Identity providers</w:t>
            </w:r>
          </w:p>
          <w:p w:rsidR="006A6213" w:rsidRPr="00D87203" w:rsidRDefault="006A6213" w:rsidP="00D21982">
            <w:pPr>
              <w:ind w:left="0"/>
            </w:pPr>
            <w:r w:rsidRPr="00D87203">
              <w:t xml:space="preserve">Conduct digital identity management functions - orchestrate registration of identity, bind that identity to a credential and assert the identity at the time of authentication. </w:t>
            </w:r>
          </w:p>
          <w:p w:rsidR="006A6213" w:rsidRPr="00D87203" w:rsidRDefault="006A6213" w:rsidP="00D21982">
            <w:pPr>
              <w:ind w:left="0"/>
            </w:pPr>
            <w:r w:rsidRPr="00D87203">
              <w:t xml:space="preserve">Identity providers must use systems and processes to communicate and exchange identity information in a standard interoperable format. </w:t>
            </w:r>
          </w:p>
        </w:tc>
      </w:tr>
      <w:tr w:rsidR="006A6213" w:rsidRPr="00D87203" w:rsidTr="00D21982">
        <w:tc>
          <w:tcPr>
            <w:tcW w:w="1843" w:type="dxa"/>
            <w:shd w:val="clear" w:color="auto" w:fill="auto"/>
            <w:vAlign w:val="center"/>
          </w:tcPr>
          <w:p w:rsidR="006A6213" w:rsidRPr="00D87203" w:rsidRDefault="006A6213" w:rsidP="00D21982">
            <w:pPr>
              <w:ind w:left="0"/>
            </w:pPr>
            <w:r w:rsidRPr="00D87203">
              <w:rPr>
                <w:noProof/>
                <w:lang w:eastAsia="en-AU"/>
              </w:rPr>
              <w:drawing>
                <wp:inline distT="0" distB="0" distL="0" distR="0" wp14:anchorId="1A0673AC" wp14:editId="049057AB">
                  <wp:extent cx="899590" cy="900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2"/>
                          <a:srcRect l="-12" t="-34" r="-12" b="-34"/>
                          <a:stretch/>
                        </pic:blipFill>
                        <pic:spPr bwMode="auto">
                          <a:xfrm>
                            <a:off x="0" y="0"/>
                            <a:ext cx="900220" cy="900630"/>
                          </a:xfrm>
                          <a:prstGeom prst="rect">
                            <a:avLst/>
                          </a:prstGeom>
                          <a:ln>
                            <a:noFill/>
                          </a:ln>
                          <a:extLst>
                            <a:ext uri="{53640926-AAD7-44D8-BBD7-CCE9431645EC}">
                              <a14:shadowObscured xmlns:a14="http://schemas.microsoft.com/office/drawing/2010/main"/>
                            </a:ext>
                          </a:extLst>
                        </pic:spPr>
                      </pic:pic>
                    </a:graphicData>
                  </a:graphic>
                </wp:inline>
              </w:drawing>
            </w:r>
          </w:p>
        </w:tc>
        <w:tc>
          <w:tcPr>
            <w:tcW w:w="6377" w:type="dxa"/>
            <w:shd w:val="clear" w:color="auto" w:fill="auto"/>
          </w:tcPr>
          <w:p w:rsidR="006A6213" w:rsidRPr="00D21982" w:rsidRDefault="006A6213" w:rsidP="00D21982">
            <w:pPr>
              <w:ind w:left="0"/>
              <w:rPr>
                <w:b/>
              </w:rPr>
            </w:pPr>
            <w:r w:rsidRPr="00D21982">
              <w:rPr>
                <w:b/>
              </w:rPr>
              <w:t>Credential providers</w:t>
            </w:r>
          </w:p>
          <w:p w:rsidR="006A6213" w:rsidRPr="00D87203" w:rsidRDefault="006A6213" w:rsidP="00D21982">
            <w:pPr>
              <w:ind w:left="0"/>
            </w:pPr>
            <w:r w:rsidRPr="00D87203">
              <w:t>Provides and manage credentials. This function may, and is often, internalised within an identity provider. Credential providers must be capable of being issue assertions that can be used for multiple purposes and multiple recipients.</w:t>
            </w:r>
          </w:p>
        </w:tc>
      </w:tr>
      <w:tr w:rsidR="006A6213" w:rsidRPr="00D87203" w:rsidTr="00D21982">
        <w:tc>
          <w:tcPr>
            <w:tcW w:w="1843" w:type="dxa"/>
            <w:shd w:val="clear" w:color="auto" w:fill="auto"/>
            <w:vAlign w:val="center"/>
          </w:tcPr>
          <w:p w:rsidR="006A6213" w:rsidRPr="00D87203" w:rsidRDefault="006A6213" w:rsidP="00D21982">
            <w:pPr>
              <w:ind w:left="0"/>
            </w:pPr>
            <w:r w:rsidRPr="00D87203">
              <w:rPr>
                <w:noProof/>
                <w:lang w:eastAsia="en-AU"/>
              </w:rPr>
              <w:drawing>
                <wp:inline distT="0" distB="0" distL="0" distR="0" wp14:anchorId="307FE7DB" wp14:editId="35EE80E5">
                  <wp:extent cx="899795" cy="900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3"/>
                          <a:srcRect l="-12" t="1900" r="-12" b="1900"/>
                          <a:stretch/>
                        </pic:blipFill>
                        <pic:spPr bwMode="auto">
                          <a:xfrm>
                            <a:off x="0" y="0"/>
                            <a:ext cx="900220" cy="900425"/>
                          </a:xfrm>
                          <a:prstGeom prst="rect">
                            <a:avLst/>
                          </a:prstGeom>
                          <a:ln>
                            <a:noFill/>
                          </a:ln>
                          <a:extLst>
                            <a:ext uri="{53640926-AAD7-44D8-BBD7-CCE9431645EC}">
                              <a14:shadowObscured xmlns:a14="http://schemas.microsoft.com/office/drawing/2010/main"/>
                            </a:ext>
                          </a:extLst>
                        </pic:spPr>
                      </pic:pic>
                    </a:graphicData>
                  </a:graphic>
                </wp:inline>
              </w:drawing>
            </w:r>
          </w:p>
        </w:tc>
        <w:tc>
          <w:tcPr>
            <w:tcW w:w="6377" w:type="dxa"/>
            <w:shd w:val="clear" w:color="auto" w:fill="auto"/>
          </w:tcPr>
          <w:p w:rsidR="006A6213" w:rsidRPr="00D21982" w:rsidRDefault="006A6213" w:rsidP="00D21982">
            <w:pPr>
              <w:ind w:left="0"/>
              <w:rPr>
                <w:b/>
              </w:rPr>
            </w:pPr>
            <w:r w:rsidRPr="00D21982">
              <w:rPr>
                <w:b/>
              </w:rPr>
              <w:t>Attribute providers</w:t>
            </w:r>
          </w:p>
          <w:p w:rsidR="006A6213" w:rsidRPr="00D87203" w:rsidRDefault="006A6213" w:rsidP="00D21982">
            <w:pPr>
              <w:ind w:left="0"/>
            </w:pPr>
            <w:r w:rsidRPr="00D87203">
              <w:t>Manages all aspects of an identity attribute’s lifecycle including validation and asserts the correctness and consistency of identity attributes. Often used by identity providers at registration to confirm identity for authorisation by the relying party or identity provider.</w:t>
            </w:r>
          </w:p>
        </w:tc>
      </w:tr>
      <w:tr w:rsidR="006A6213" w:rsidRPr="00D87203" w:rsidTr="00D21982">
        <w:tc>
          <w:tcPr>
            <w:tcW w:w="1843" w:type="dxa"/>
            <w:shd w:val="clear" w:color="auto" w:fill="auto"/>
            <w:vAlign w:val="center"/>
          </w:tcPr>
          <w:p w:rsidR="006A6213" w:rsidRPr="00D87203" w:rsidRDefault="006A6213" w:rsidP="00D21982">
            <w:pPr>
              <w:ind w:left="0"/>
            </w:pPr>
            <w:r w:rsidRPr="00D87203">
              <w:rPr>
                <w:noProof/>
                <w:lang w:eastAsia="en-AU"/>
              </w:rPr>
              <w:drawing>
                <wp:inline distT="0" distB="0" distL="0" distR="0" wp14:anchorId="19D39DD9" wp14:editId="665B3A56">
                  <wp:extent cx="899795" cy="9000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a:srcRect l="-12" t="-23" r="-12" b="-23"/>
                          <a:stretch/>
                        </pic:blipFill>
                        <pic:spPr bwMode="auto">
                          <a:xfrm>
                            <a:off x="0" y="0"/>
                            <a:ext cx="900220" cy="900425"/>
                          </a:xfrm>
                          <a:prstGeom prst="rect">
                            <a:avLst/>
                          </a:prstGeom>
                          <a:ln>
                            <a:noFill/>
                          </a:ln>
                          <a:extLst>
                            <a:ext uri="{53640926-AAD7-44D8-BBD7-CCE9431645EC}">
                              <a14:shadowObscured xmlns:a14="http://schemas.microsoft.com/office/drawing/2010/main"/>
                            </a:ext>
                          </a:extLst>
                        </pic:spPr>
                      </pic:pic>
                    </a:graphicData>
                  </a:graphic>
                </wp:inline>
              </w:drawing>
            </w:r>
          </w:p>
        </w:tc>
        <w:tc>
          <w:tcPr>
            <w:tcW w:w="6377" w:type="dxa"/>
            <w:shd w:val="clear" w:color="auto" w:fill="auto"/>
          </w:tcPr>
          <w:p w:rsidR="006A6213" w:rsidRPr="00D21982" w:rsidRDefault="006A6213" w:rsidP="00D21982">
            <w:pPr>
              <w:ind w:left="0"/>
              <w:rPr>
                <w:b/>
              </w:rPr>
            </w:pPr>
            <w:r w:rsidRPr="00D21982">
              <w:rPr>
                <w:b/>
              </w:rPr>
              <w:t>Relying party</w:t>
            </w:r>
          </w:p>
          <w:p w:rsidR="006A6213" w:rsidRPr="00D87203" w:rsidRDefault="006A6213" w:rsidP="00D21982">
            <w:pPr>
              <w:ind w:left="0"/>
            </w:pPr>
            <w:r w:rsidRPr="00D87203">
              <w:t>Provide online services to users. Must be capable of accepting identity assertions for external users authenticated by third parties.</w:t>
            </w:r>
          </w:p>
        </w:tc>
      </w:tr>
      <w:tr w:rsidR="006A6213" w:rsidRPr="00D87203" w:rsidTr="00D21982">
        <w:tc>
          <w:tcPr>
            <w:tcW w:w="1843" w:type="dxa"/>
            <w:shd w:val="clear" w:color="auto" w:fill="auto"/>
            <w:vAlign w:val="center"/>
          </w:tcPr>
          <w:p w:rsidR="006A6213" w:rsidRPr="00D87203" w:rsidRDefault="006A6213" w:rsidP="00D21982">
            <w:pPr>
              <w:ind w:left="0"/>
            </w:pPr>
            <w:r w:rsidRPr="00D87203">
              <w:rPr>
                <w:noProof/>
                <w:lang w:eastAsia="en-AU"/>
              </w:rPr>
              <w:lastRenderedPageBreak/>
              <w:drawing>
                <wp:inline distT="0" distB="0" distL="0" distR="0" wp14:anchorId="54D9F166" wp14:editId="480EAF12">
                  <wp:extent cx="899795" cy="9000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5"/>
                          <a:srcRect l="-12" t="-23" r="-12" b="-23"/>
                          <a:stretch/>
                        </pic:blipFill>
                        <pic:spPr bwMode="auto">
                          <a:xfrm>
                            <a:off x="0" y="0"/>
                            <a:ext cx="900220" cy="900425"/>
                          </a:xfrm>
                          <a:prstGeom prst="rect">
                            <a:avLst/>
                          </a:prstGeom>
                          <a:ln>
                            <a:noFill/>
                          </a:ln>
                          <a:extLst>
                            <a:ext uri="{53640926-AAD7-44D8-BBD7-CCE9431645EC}">
                              <a14:shadowObscured xmlns:a14="http://schemas.microsoft.com/office/drawing/2010/main"/>
                            </a:ext>
                          </a:extLst>
                        </pic:spPr>
                      </pic:pic>
                    </a:graphicData>
                  </a:graphic>
                </wp:inline>
              </w:drawing>
            </w:r>
          </w:p>
        </w:tc>
        <w:tc>
          <w:tcPr>
            <w:tcW w:w="6377" w:type="dxa"/>
            <w:shd w:val="clear" w:color="auto" w:fill="auto"/>
          </w:tcPr>
          <w:p w:rsidR="006A6213" w:rsidRPr="00D21982" w:rsidRDefault="006A6213" w:rsidP="00D21982">
            <w:pPr>
              <w:ind w:left="0"/>
              <w:rPr>
                <w:b/>
              </w:rPr>
            </w:pPr>
            <w:r w:rsidRPr="00D21982">
              <w:rPr>
                <w:b/>
              </w:rPr>
              <w:t>Federation schemes</w:t>
            </w:r>
          </w:p>
          <w:p w:rsidR="006A6213" w:rsidRPr="00D87203" w:rsidRDefault="006A6213" w:rsidP="00D21982">
            <w:pPr>
              <w:ind w:left="0"/>
            </w:pPr>
            <w:r w:rsidRPr="00D87203">
              <w:t>Broker communities of identity or credential providers to communities of Relying Parties in a way that ensures security and privacy.</w:t>
            </w:r>
          </w:p>
        </w:tc>
      </w:tr>
    </w:tbl>
    <w:p w:rsidR="006A6213" w:rsidRDefault="006A6213" w:rsidP="006A6213">
      <w:pPr>
        <w:pStyle w:val="BodyText"/>
      </w:pPr>
      <w:r w:rsidRPr="00D87203">
        <w:t>Underpinning this model are individual trust relationships and governance arrangements between the parties that support wider interoperability goals, but are flexible enough to align with the individual business models, policies, security, privacy goals and requirements of each party. Within an identity ecosystem, different frameworks for trust and identity assurance will operate</w:t>
      </w:r>
      <w:r w:rsidR="00D21982">
        <w:t>.</w:t>
      </w:r>
    </w:p>
    <w:p w:rsidR="00D21982" w:rsidRDefault="00D21982" w:rsidP="00D21982">
      <w:pPr>
        <w:pStyle w:val="Heading2"/>
      </w:pPr>
      <w:bookmarkStart w:id="10" w:name="_Toc483475309"/>
      <w:bookmarkStart w:id="11" w:name="_Toc484085287"/>
      <w:r>
        <w:t>User constituencies (types of identity)</w:t>
      </w:r>
      <w:bookmarkEnd w:id="10"/>
      <w:bookmarkEnd w:id="11"/>
    </w:p>
    <w:p w:rsidR="00D21982" w:rsidRPr="00E81B8C" w:rsidRDefault="00D21982" w:rsidP="00D21982">
      <w:r w:rsidRPr="00E81B8C">
        <w:t>The Queensland Government must manage and/or rely upon identities for any increasing number of user constituencies such as employee and contractors, clients, consumers and partner populations. </w:t>
      </w:r>
    </w:p>
    <w:p w:rsidR="00D21982" w:rsidRPr="00E81B8C" w:rsidRDefault="00D21982" w:rsidP="00D21982">
      <w:r w:rsidRPr="00E81B8C">
        <w:t>In a federated model, the party that manages the identities for a specific user population may be considered an authority for particular attributes within the ecosystem.</w:t>
      </w:r>
    </w:p>
    <w:p w:rsidR="00D21982" w:rsidRPr="00E81B8C" w:rsidRDefault="00D21982" w:rsidP="00D21982">
      <w:r w:rsidRPr="00E81B8C">
        <w:t xml:space="preserve">The relying party organisation itself may not always be best placed to manage and vet identity for all user constituencies and such accountability should remain with the most appropriate party. The Decision Framework assists with determining appropriate identity provider/s for a given user constituency. </w:t>
      </w:r>
    </w:p>
    <w:p w:rsidR="00D21982" w:rsidRPr="00E81B8C" w:rsidRDefault="00D21982" w:rsidP="00D21982">
      <w:r w:rsidRPr="00E81B8C">
        <w:t>There are predominately four types of identities:</w:t>
      </w:r>
    </w:p>
    <w:tbl>
      <w:tblPr>
        <w:tblStyle w:val="TableGrid"/>
        <w:tblW w:w="9072" w:type="dxa"/>
        <w:tblInd w:w="567" w:type="dxa"/>
        <w:tblBorders>
          <w:top w:val="none" w:sz="0" w:space="0" w:color="auto"/>
          <w:left w:val="none" w:sz="0" w:space="0" w:color="auto"/>
          <w:bottom w:val="none" w:sz="0" w:space="0" w:color="auto"/>
          <w:right w:val="none" w:sz="0" w:space="0" w:color="auto"/>
          <w:insideV w:val="none" w:sz="0" w:space="0" w:color="auto"/>
        </w:tblBorders>
        <w:tblCellMar>
          <w:top w:w="113" w:type="dxa"/>
          <w:bottom w:w="113" w:type="dxa"/>
        </w:tblCellMar>
        <w:tblLook w:val="04A0" w:firstRow="1" w:lastRow="0" w:firstColumn="1" w:lastColumn="0" w:noHBand="0" w:noVBand="1"/>
      </w:tblPr>
      <w:tblGrid>
        <w:gridCol w:w="935"/>
        <w:gridCol w:w="1243"/>
        <w:gridCol w:w="6894"/>
      </w:tblGrid>
      <w:tr w:rsidR="00D21982" w:rsidRPr="00E81B8C" w:rsidTr="000C416E">
        <w:tc>
          <w:tcPr>
            <w:tcW w:w="424" w:type="dxa"/>
            <w:vAlign w:val="center"/>
          </w:tcPr>
          <w:p w:rsidR="00D21982" w:rsidRPr="00E81B8C" w:rsidRDefault="00D21982" w:rsidP="00D21982">
            <w:pPr>
              <w:ind w:left="29"/>
            </w:pPr>
            <w:r w:rsidRPr="00E81B8C">
              <w:rPr>
                <w:noProof/>
                <w:lang w:eastAsia="en-AU"/>
              </w:rPr>
              <w:drawing>
                <wp:inline distT="0" distB="0" distL="0" distR="0" wp14:anchorId="4EB7B62A" wp14:editId="78D45A9F">
                  <wp:extent cx="436940" cy="930303"/>
                  <wp:effectExtent l="0" t="0" r="1270" b="317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flipH="1">
                            <a:off x="0" y="0"/>
                            <a:ext cx="440213" cy="937273"/>
                          </a:xfrm>
                          <a:prstGeom prst="rect">
                            <a:avLst/>
                          </a:prstGeom>
                        </pic:spPr>
                      </pic:pic>
                    </a:graphicData>
                  </a:graphic>
                </wp:inline>
              </w:drawing>
            </w:r>
          </w:p>
        </w:tc>
        <w:tc>
          <w:tcPr>
            <w:tcW w:w="1243" w:type="dxa"/>
            <w:shd w:val="clear" w:color="auto" w:fill="auto"/>
          </w:tcPr>
          <w:p w:rsidR="00D21982" w:rsidRPr="00E81B8C" w:rsidRDefault="00D21982" w:rsidP="00D21982">
            <w:pPr>
              <w:ind w:left="0"/>
            </w:pPr>
          </w:p>
          <w:p w:rsidR="00D21982" w:rsidRPr="00D21982" w:rsidRDefault="00D21982" w:rsidP="00D21982">
            <w:pPr>
              <w:ind w:left="0"/>
              <w:rPr>
                <w:b/>
              </w:rPr>
            </w:pPr>
            <w:r w:rsidRPr="00D21982">
              <w:rPr>
                <w:b/>
              </w:rPr>
              <w:t>Staff</w:t>
            </w:r>
          </w:p>
        </w:tc>
        <w:tc>
          <w:tcPr>
            <w:tcW w:w="7405" w:type="dxa"/>
            <w:shd w:val="clear" w:color="auto" w:fill="auto"/>
          </w:tcPr>
          <w:p w:rsidR="00D21982" w:rsidRPr="00E81B8C" w:rsidRDefault="00D21982" w:rsidP="00D21982">
            <w:pPr>
              <w:ind w:left="0"/>
            </w:pPr>
            <w:r w:rsidRPr="00E81B8C">
              <w:t xml:space="preserve">A staff member’s identity is typically established by the employing organisation through HR processes. Across the Queensland Government the same individual may have multiple active or inactive identities across departments for this reason. </w:t>
            </w:r>
          </w:p>
          <w:p w:rsidR="00D21982" w:rsidRPr="00E81B8C" w:rsidRDefault="00D21982" w:rsidP="00D21982">
            <w:pPr>
              <w:ind w:left="0"/>
            </w:pPr>
            <w:r w:rsidRPr="00E81B8C">
              <w:t>Contractors may be handed differently by each department.</w:t>
            </w:r>
          </w:p>
        </w:tc>
      </w:tr>
      <w:tr w:rsidR="00D21982" w:rsidRPr="00E81B8C" w:rsidTr="000C416E">
        <w:tc>
          <w:tcPr>
            <w:tcW w:w="424" w:type="dxa"/>
          </w:tcPr>
          <w:p w:rsidR="00D21982" w:rsidRPr="00E81B8C" w:rsidRDefault="00D21982" w:rsidP="00D21982">
            <w:pPr>
              <w:ind w:left="0"/>
            </w:pPr>
            <w:r w:rsidRPr="00E81B8C">
              <w:rPr>
                <w:noProof/>
                <w:lang w:eastAsia="en-AU"/>
              </w:rPr>
              <w:drawing>
                <wp:inline distT="0" distB="0" distL="0" distR="0" wp14:anchorId="05A57F26" wp14:editId="390B922C">
                  <wp:extent cx="445273" cy="948045"/>
                  <wp:effectExtent l="0" t="0" r="0" b="508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flipH="1">
                            <a:off x="0" y="0"/>
                            <a:ext cx="446779" cy="951252"/>
                          </a:xfrm>
                          <a:prstGeom prst="rect">
                            <a:avLst/>
                          </a:prstGeom>
                        </pic:spPr>
                      </pic:pic>
                    </a:graphicData>
                  </a:graphic>
                </wp:inline>
              </w:drawing>
            </w:r>
          </w:p>
        </w:tc>
        <w:tc>
          <w:tcPr>
            <w:tcW w:w="1243" w:type="dxa"/>
            <w:shd w:val="clear" w:color="auto" w:fill="auto"/>
          </w:tcPr>
          <w:p w:rsidR="00D21982" w:rsidRPr="00E81B8C" w:rsidRDefault="00D21982" w:rsidP="00D21982">
            <w:pPr>
              <w:ind w:left="0"/>
            </w:pPr>
          </w:p>
          <w:p w:rsidR="00D21982" w:rsidRPr="00D21982" w:rsidRDefault="00D21982" w:rsidP="00D21982">
            <w:pPr>
              <w:ind w:left="0"/>
              <w:rPr>
                <w:b/>
              </w:rPr>
            </w:pPr>
            <w:r w:rsidRPr="00D21982">
              <w:rPr>
                <w:b/>
              </w:rPr>
              <w:t>Customer</w:t>
            </w:r>
          </w:p>
          <w:p w:rsidR="00D21982" w:rsidRPr="00E81B8C" w:rsidRDefault="00D21982" w:rsidP="00D21982">
            <w:pPr>
              <w:ind w:left="0"/>
            </w:pPr>
          </w:p>
        </w:tc>
        <w:tc>
          <w:tcPr>
            <w:tcW w:w="7405" w:type="dxa"/>
            <w:shd w:val="clear" w:color="auto" w:fill="auto"/>
          </w:tcPr>
          <w:p w:rsidR="00D21982" w:rsidRPr="00E81B8C" w:rsidRDefault="00D21982" w:rsidP="00D21982">
            <w:pPr>
              <w:ind w:left="0"/>
            </w:pPr>
            <w:r w:rsidRPr="00E81B8C">
              <w:t>A customer may construct multiple identities as they choose to carefully reveal or conceal personal information based on what they deem appropriate (or the minimum) for a specific interaction to maintain their privacy. The user may have multiple identities at different times or even at the same time.</w:t>
            </w:r>
          </w:p>
          <w:p w:rsidR="00D21982" w:rsidRPr="00E81B8C" w:rsidRDefault="00D21982" w:rsidP="00D21982">
            <w:pPr>
              <w:ind w:left="0"/>
            </w:pPr>
            <w:r w:rsidRPr="00E81B8C">
              <w:t>Anonymous access or pseudonymous access may be permitted for certain services and service personalisation.</w:t>
            </w:r>
          </w:p>
          <w:p w:rsidR="00D21982" w:rsidRPr="00E81B8C" w:rsidRDefault="00D21982" w:rsidP="00D21982">
            <w:pPr>
              <w:ind w:left="0"/>
            </w:pPr>
            <w:r w:rsidRPr="00E81B8C">
              <w:t>Customers may choose to orchestrate/create their own single view of government (Government may not necessarily have a single view of customer).</w:t>
            </w:r>
          </w:p>
        </w:tc>
      </w:tr>
      <w:tr w:rsidR="00D21982" w:rsidRPr="00E81B8C" w:rsidTr="000C416E">
        <w:tc>
          <w:tcPr>
            <w:tcW w:w="424" w:type="dxa"/>
          </w:tcPr>
          <w:p w:rsidR="00D21982" w:rsidRPr="00E81B8C" w:rsidRDefault="00D21982" w:rsidP="00D21982">
            <w:pPr>
              <w:ind w:left="0"/>
            </w:pPr>
            <w:r w:rsidRPr="00E81B8C">
              <w:rPr>
                <w:noProof/>
                <w:lang w:eastAsia="en-AU"/>
              </w:rPr>
              <w:drawing>
                <wp:inline distT="0" distB="0" distL="0" distR="0" wp14:anchorId="0BF372C3" wp14:editId="15864EFA">
                  <wp:extent cx="444409" cy="946205"/>
                  <wp:effectExtent l="0" t="0" r="0" b="635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8"/>
                          <a:stretch>
                            <a:fillRect/>
                          </a:stretch>
                        </pic:blipFill>
                        <pic:spPr>
                          <a:xfrm flipH="1">
                            <a:off x="0" y="0"/>
                            <a:ext cx="447305" cy="952370"/>
                          </a:xfrm>
                          <a:prstGeom prst="rect">
                            <a:avLst/>
                          </a:prstGeom>
                        </pic:spPr>
                      </pic:pic>
                    </a:graphicData>
                  </a:graphic>
                </wp:inline>
              </w:drawing>
            </w:r>
          </w:p>
        </w:tc>
        <w:tc>
          <w:tcPr>
            <w:tcW w:w="1243" w:type="dxa"/>
            <w:shd w:val="clear" w:color="auto" w:fill="auto"/>
          </w:tcPr>
          <w:p w:rsidR="00D21982" w:rsidRPr="00E81B8C" w:rsidRDefault="00D21982" w:rsidP="00D21982">
            <w:pPr>
              <w:ind w:left="0"/>
            </w:pPr>
          </w:p>
          <w:p w:rsidR="00D21982" w:rsidRPr="00D21982" w:rsidRDefault="00D21982" w:rsidP="00D21982">
            <w:pPr>
              <w:ind w:left="0"/>
              <w:rPr>
                <w:b/>
              </w:rPr>
            </w:pPr>
            <w:r w:rsidRPr="00D21982">
              <w:rPr>
                <w:b/>
              </w:rPr>
              <w:t>Client</w:t>
            </w:r>
          </w:p>
          <w:p w:rsidR="00D21982" w:rsidRPr="00E81B8C" w:rsidRDefault="00D21982" w:rsidP="00D21982">
            <w:pPr>
              <w:ind w:left="0"/>
            </w:pPr>
          </w:p>
        </w:tc>
        <w:tc>
          <w:tcPr>
            <w:tcW w:w="7405" w:type="dxa"/>
            <w:shd w:val="clear" w:color="auto" w:fill="auto"/>
          </w:tcPr>
          <w:p w:rsidR="00D21982" w:rsidRPr="00E81B8C" w:rsidRDefault="00D21982" w:rsidP="00D21982">
            <w:pPr>
              <w:ind w:left="0"/>
            </w:pPr>
            <w:r w:rsidRPr="00E81B8C">
              <w:t xml:space="preserve">Client identity management systems operate based upon the need for a unique and persistent identity to track individuals over a lifetime (e.g. tax systems, criminal justice systems, healthcare systems, child protection systems). These systems are more expensive as they typically require a high confidence in identity and must maintain links to pre-existing identities and histories, as opposed to customer </w:t>
            </w:r>
            <w:r w:rsidRPr="00E81B8C">
              <w:lastRenderedPageBreak/>
              <w:t xml:space="preserve">systems that allow users to create new accounts and without histories. </w:t>
            </w:r>
          </w:p>
        </w:tc>
      </w:tr>
      <w:tr w:rsidR="00D21982" w:rsidRPr="00E81B8C" w:rsidTr="000C416E">
        <w:tc>
          <w:tcPr>
            <w:tcW w:w="424" w:type="dxa"/>
          </w:tcPr>
          <w:p w:rsidR="00D21982" w:rsidRPr="00E81B8C" w:rsidRDefault="00D21982" w:rsidP="000C416E">
            <w:pPr>
              <w:ind w:left="0"/>
            </w:pPr>
            <w:r w:rsidRPr="00E81B8C">
              <w:rPr>
                <w:noProof/>
                <w:lang w:eastAsia="en-AU"/>
              </w:rPr>
              <w:lastRenderedPageBreak/>
              <w:drawing>
                <wp:inline distT="0" distB="0" distL="0" distR="0" wp14:anchorId="5C907FC5" wp14:editId="2E829630">
                  <wp:extent cx="445273" cy="948045"/>
                  <wp:effectExtent l="0" t="0" r="0" b="508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a:stretch>
                            <a:fillRect/>
                          </a:stretch>
                        </pic:blipFill>
                        <pic:spPr>
                          <a:xfrm flipH="1">
                            <a:off x="0" y="0"/>
                            <a:ext cx="449360" cy="956746"/>
                          </a:xfrm>
                          <a:prstGeom prst="rect">
                            <a:avLst/>
                          </a:prstGeom>
                        </pic:spPr>
                      </pic:pic>
                    </a:graphicData>
                  </a:graphic>
                </wp:inline>
              </w:drawing>
            </w:r>
          </w:p>
        </w:tc>
        <w:tc>
          <w:tcPr>
            <w:tcW w:w="1243" w:type="dxa"/>
            <w:shd w:val="clear" w:color="auto" w:fill="auto"/>
          </w:tcPr>
          <w:p w:rsidR="00D21982" w:rsidRPr="00E81B8C" w:rsidRDefault="00D21982" w:rsidP="00D21982">
            <w:pPr>
              <w:ind w:left="0"/>
            </w:pPr>
          </w:p>
          <w:p w:rsidR="00D21982" w:rsidRPr="00D21982" w:rsidRDefault="00D21982" w:rsidP="00D21982">
            <w:pPr>
              <w:ind w:left="0"/>
              <w:rPr>
                <w:b/>
              </w:rPr>
            </w:pPr>
            <w:r w:rsidRPr="00D21982">
              <w:rPr>
                <w:b/>
              </w:rPr>
              <w:t>Partner</w:t>
            </w:r>
          </w:p>
        </w:tc>
        <w:tc>
          <w:tcPr>
            <w:tcW w:w="7405" w:type="dxa"/>
            <w:shd w:val="clear" w:color="auto" w:fill="auto"/>
          </w:tcPr>
          <w:p w:rsidR="00D21982" w:rsidRPr="00E81B8C" w:rsidRDefault="00D21982" w:rsidP="00D21982">
            <w:pPr>
              <w:ind w:left="0"/>
            </w:pPr>
            <w:r w:rsidRPr="00E81B8C">
              <w:t>The identities of partners (individuals or businesses) which assist in service delivery represent another category to be managed. Those entities may require access to government systems and or data. For example, volunteers such as volunteer firefighters, general practitioner and non-government health care providers.</w:t>
            </w:r>
          </w:p>
        </w:tc>
      </w:tr>
    </w:tbl>
    <w:p w:rsidR="00D21982" w:rsidRPr="00D21982" w:rsidRDefault="00D21982" w:rsidP="00D21982">
      <w:pPr>
        <w:pStyle w:val="BodyText"/>
      </w:pPr>
      <w:r w:rsidRPr="00E81B8C">
        <w:t>As an example, for education, the identities of teachers would be managed as staff identities, students are considered clients, and parents accessing student information online are considered customers which have a relationship to a client (student) identity.</w:t>
      </w:r>
    </w:p>
    <w:p w:rsidR="00D21982" w:rsidRPr="00E81B8C" w:rsidRDefault="00D21982" w:rsidP="00D21982">
      <w:r w:rsidRPr="00E81B8C">
        <w:t>The table below outlines common examples of each type of identity:</w:t>
      </w:r>
    </w:p>
    <w:tbl>
      <w:tblPr>
        <w:tblStyle w:val="TableGrid"/>
        <w:tblW w:w="10903" w:type="dxa"/>
        <w:tblCellSpacing w:w="56" w:type="dxa"/>
        <w:tblInd w:w="-572"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CellMar>
          <w:bottom w:w="142" w:type="dxa"/>
        </w:tblCellMar>
        <w:tblLook w:val="04A0" w:firstRow="1" w:lastRow="0" w:firstColumn="1" w:lastColumn="0" w:noHBand="0" w:noVBand="1"/>
      </w:tblPr>
      <w:tblGrid>
        <w:gridCol w:w="2457"/>
        <w:gridCol w:w="3006"/>
        <w:gridCol w:w="3006"/>
        <w:gridCol w:w="2434"/>
      </w:tblGrid>
      <w:tr w:rsidR="00D21982" w:rsidRPr="00D21982" w:rsidTr="000C416E">
        <w:trPr>
          <w:trHeight w:val="85"/>
          <w:tblCellSpacing w:w="56" w:type="dxa"/>
        </w:trPr>
        <w:tc>
          <w:tcPr>
            <w:tcW w:w="2344" w:type="dxa"/>
          </w:tcPr>
          <w:p w:rsidR="00D21982" w:rsidRPr="00D21982" w:rsidRDefault="00D21982" w:rsidP="00D21982">
            <w:pPr>
              <w:ind w:left="0"/>
              <w:jc w:val="center"/>
              <w:rPr>
                <w:sz w:val="20"/>
              </w:rPr>
            </w:pPr>
            <w:r w:rsidRPr="00D21982">
              <w:rPr>
                <w:b/>
                <w:sz w:val="20"/>
              </w:rPr>
              <w:t>Staff identity</w:t>
            </w:r>
            <w:r w:rsidRPr="00D21982">
              <w:rPr>
                <w:sz w:val="20"/>
              </w:rPr>
              <w:br/>
            </w:r>
            <w:r w:rsidRPr="00D21982">
              <w:rPr>
                <w:sz w:val="20"/>
              </w:rPr>
              <w:br/>
            </w:r>
            <w:r w:rsidRPr="00D21982">
              <w:rPr>
                <w:noProof/>
                <w:sz w:val="20"/>
                <w:lang w:eastAsia="en-AU"/>
              </w:rPr>
              <w:drawing>
                <wp:inline distT="0" distB="0" distL="0" distR="0" wp14:anchorId="755BC986" wp14:editId="5D4F07AC">
                  <wp:extent cx="436940" cy="930303"/>
                  <wp:effectExtent l="0" t="0" r="1270" b="317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flipH="1">
                            <a:off x="0" y="0"/>
                            <a:ext cx="440213" cy="937273"/>
                          </a:xfrm>
                          <a:prstGeom prst="rect">
                            <a:avLst/>
                          </a:prstGeom>
                        </pic:spPr>
                      </pic:pic>
                    </a:graphicData>
                  </a:graphic>
                </wp:inline>
              </w:drawing>
            </w:r>
          </w:p>
          <w:p w:rsidR="00D21982" w:rsidRPr="00D21982" w:rsidRDefault="00D21982" w:rsidP="00D21982">
            <w:pPr>
              <w:ind w:left="0"/>
              <w:rPr>
                <w:b/>
                <w:sz w:val="20"/>
              </w:rPr>
            </w:pPr>
            <w:r w:rsidRPr="00D21982">
              <w:rPr>
                <w:b/>
                <w:sz w:val="20"/>
              </w:rPr>
              <w:t>Employees (individuals)</w:t>
            </w:r>
          </w:p>
          <w:p w:rsidR="00D21982" w:rsidRPr="00D21982" w:rsidRDefault="00D21982" w:rsidP="00D21982">
            <w:pPr>
              <w:pStyle w:val="tablebullet"/>
            </w:pPr>
            <w:r w:rsidRPr="00D21982">
              <w:t>In-house</w:t>
            </w:r>
          </w:p>
          <w:p w:rsidR="00D21982" w:rsidRPr="00D21982" w:rsidRDefault="00D21982" w:rsidP="00D21982">
            <w:pPr>
              <w:pStyle w:val="tablebullet"/>
            </w:pPr>
            <w:r w:rsidRPr="00D21982">
              <w:t>Telecommuters,</w:t>
            </w:r>
          </w:p>
          <w:p w:rsidR="00D21982" w:rsidRPr="00D21982" w:rsidRDefault="00D21982" w:rsidP="00D21982">
            <w:pPr>
              <w:pStyle w:val="tablebullet"/>
            </w:pPr>
            <w:r w:rsidRPr="00D21982">
              <w:t>Road warriors,</w:t>
            </w:r>
          </w:p>
          <w:p w:rsidR="00D21982" w:rsidRPr="00D21982" w:rsidRDefault="00D21982" w:rsidP="00D21982">
            <w:pPr>
              <w:pStyle w:val="tablebullet"/>
            </w:pPr>
            <w:r w:rsidRPr="00D21982">
              <w:t>Internal contractors</w:t>
            </w:r>
          </w:p>
          <w:p w:rsidR="00D21982" w:rsidRPr="00D21982" w:rsidRDefault="00D21982" w:rsidP="00D21982">
            <w:pPr>
              <w:pStyle w:val="tablebullet"/>
            </w:pPr>
            <w:r w:rsidRPr="00D21982">
              <w:t>Off-site contracts,</w:t>
            </w:r>
          </w:p>
          <w:p w:rsidR="00D21982" w:rsidRPr="00D21982" w:rsidRDefault="00D21982" w:rsidP="00D21982">
            <w:pPr>
              <w:pStyle w:val="tablebullet"/>
            </w:pPr>
            <w:r w:rsidRPr="00D21982">
              <w:t>Joint-venture partners and startups</w:t>
            </w:r>
          </w:p>
          <w:p w:rsidR="00D21982" w:rsidRPr="00D21982" w:rsidRDefault="00D21982" w:rsidP="00D21982">
            <w:pPr>
              <w:pStyle w:val="tablebullet"/>
            </w:pPr>
            <w:r w:rsidRPr="00D21982">
              <w:t>Nurses</w:t>
            </w:r>
          </w:p>
          <w:p w:rsidR="00D21982" w:rsidRPr="00D21982" w:rsidRDefault="00D21982" w:rsidP="00D21982">
            <w:pPr>
              <w:pStyle w:val="tablebullet"/>
            </w:pPr>
            <w:r w:rsidRPr="00D21982">
              <w:t xml:space="preserve">Doctors </w:t>
            </w:r>
          </w:p>
          <w:p w:rsidR="00D21982" w:rsidRPr="00D21982" w:rsidRDefault="00D21982" w:rsidP="00D21982">
            <w:pPr>
              <w:ind w:left="0"/>
              <w:rPr>
                <w:b/>
                <w:sz w:val="20"/>
              </w:rPr>
            </w:pPr>
            <w:r w:rsidRPr="00D21982">
              <w:rPr>
                <w:b/>
                <w:sz w:val="20"/>
              </w:rPr>
              <w:t>Contractors (individuals)</w:t>
            </w:r>
          </w:p>
          <w:p w:rsidR="00D21982" w:rsidRPr="00D21982" w:rsidRDefault="00D21982" w:rsidP="00D21982">
            <w:pPr>
              <w:pStyle w:val="tablebullet"/>
            </w:pPr>
            <w:r w:rsidRPr="00D21982">
              <w:t>Temporary workers</w:t>
            </w:r>
          </w:p>
          <w:p w:rsidR="00D21982" w:rsidRPr="00D21982" w:rsidRDefault="00D21982" w:rsidP="00D21982">
            <w:pPr>
              <w:pStyle w:val="tablebullet"/>
            </w:pPr>
            <w:r w:rsidRPr="00D21982">
              <w:t>IT system integrators</w:t>
            </w:r>
          </w:p>
          <w:p w:rsidR="00D21982" w:rsidRPr="00D21982" w:rsidRDefault="00D21982" w:rsidP="00D21982">
            <w:pPr>
              <w:pStyle w:val="tablebullet"/>
            </w:pPr>
            <w:r w:rsidRPr="00D21982">
              <w:t>Auditors</w:t>
            </w:r>
          </w:p>
          <w:p w:rsidR="00D21982" w:rsidRPr="00D21982" w:rsidRDefault="00D21982" w:rsidP="00D21982">
            <w:pPr>
              <w:pStyle w:val="tablebullet"/>
            </w:pPr>
            <w:r w:rsidRPr="00D21982">
              <w:t>Accountants</w:t>
            </w:r>
          </w:p>
          <w:p w:rsidR="00D21982" w:rsidRPr="00D21982" w:rsidRDefault="00D21982" w:rsidP="00D21982">
            <w:pPr>
              <w:pStyle w:val="tablebullet"/>
            </w:pPr>
            <w:r w:rsidRPr="00D21982">
              <w:t>field personnel</w:t>
            </w:r>
          </w:p>
        </w:tc>
        <w:tc>
          <w:tcPr>
            <w:tcW w:w="2825" w:type="dxa"/>
          </w:tcPr>
          <w:p w:rsidR="00D21982" w:rsidRPr="00D21982" w:rsidRDefault="00D21982" w:rsidP="00D21982">
            <w:pPr>
              <w:ind w:left="0"/>
              <w:jc w:val="center"/>
              <w:rPr>
                <w:sz w:val="20"/>
              </w:rPr>
            </w:pPr>
            <w:r w:rsidRPr="00D21982">
              <w:rPr>
                <w:b/>
                <w:sz w:val="20"/>
              </w:rPr>
              <w:t>Client identity</w:t>
            </w:r>
            <w:r w:rsidRPr="00D21982">
              <w:rPr>
                <w:sz w:val="20"/>
              </w:rPr>
              <w:br/>
            </w:r>
            <w:r w:rsidRPr="00D21982">
              <w:rPr>
                <w:sz w:val="20"/>
              </w:rPr>
              <w:br/>
            </w:r>
            <w:r w:rsidRPr="00D21982">
              <w:rPr>
                <w:noProof/>
                <w:sz w:val="20"/>
                <w:lang w:eastAsia="en-AU"/>
              </w:rPr>
              <w:drawing>
                <wp:inline distT="0" distB="0" distL="0" distR="0" wp14:anchorId="3BE64433" wp14:editId="0BD335E4">
                  <wp:extent cx="444409" cy="946205"/>
                  <wp:effectExtent l="0" t="0" r="0" b="635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8"/>
                          <a:stretch>
                            <a:fillRect/>
                          </a:stretch>
                        </pic:blipFill>
                        <pic:spPr>
                          <a:xfrm flipH="1">
                            <a:off x="0" y="0"/>
                            <a:ext cx="447305" cy="952370"/>
                          </a:xfrm>
                          <a:prstGeom prst="rect">
                            <a:avLst/>
                          </a:prstGeom>
                        </pic:spPr>
                      </pic:pic>
                    </a:graphicData>
                  </a:graphic>
                </wp:inline>
              </w:drawing>
            </w:r>
          </w:p>
          <w:p w:rsidR="00D21982" w:rsidRPr="00D21982" w:rsidRDefault="00D21982" w:rsidP="00D21982">
            <w:pPr>
              <w:ind w:left="0"/>
              <w:rPr>
                <w:b/>
                <w:sz w:val="20"/>
              </w:rPr>
            </w:pPr>
            <w:r w:rsidRPr="00D21982">
              <w:rPr>
                <w:b/>
                <w:sz w:val="20"/>
              </w:rPr>
              <w:t>Persons (individuals)</w:t>
            </w:r>
          </w:p>
          <w:p w:rsidR="00D21982" w:rsidRPr="00D21982" w:rsidRDefault="00D21982" w:rsidP="00D21982">
            <w:pPr>
              <w:pStyle w:val="tablebullet"/>
            </w:pPr>
            <w:r w:rsidRPr="00D21982">
              <w:t>Students</w:t>
            </w:r>
          </w:p>
          <w:p w:rsidR="00D21982" w:rsidRPr="00D21982" w:rsidRDefault="00D21982" w:rsidP="00D21982">
            <w:pPr>
              <w:pStyle w:val="tablebullet"/>
            </w:pPr>
            <w:r w:rsidRPr="00D21982">
              <w:t>Registered Surveyors</w:t>
            </w:r>
          </w:p>
          <w:p w:rsidR="00D21982" w:rsidRPr="00D21982" w:rsidRDefault="00D21982" w:rsidP="00D21982">
            <w:pPr>
              <w:pStyle w:val="tablebullet"/>
            </w:pPr>
            <w:r w:rsidRPr="00D21982">
              <w:t>Licensed drivers</w:t>
            </w:r>
          </w:p>
          <w:p w:rsidR="00D21982" w:rsidRPr="00D21982" w:rsidRDefault="00D21982" w:rsidP="00D21982">
            <w:pPr>
              <w:pStyle w:val="tablebullet"/>
            </w:pPr>
            <w:r w:rsidRPr="00D21982">
              <w:t>Business (e.g. sole traders)</w:t>
            </w:r>
          </w:p>
          <w:p w:rsidR="00D21982" w:rsidRPr="00D21982" w:rsidRDefault="00D21982" w:rsidP="00D21982">
            <w:pPr>
              <w:ind w:left="0"/>
              <w:rPr>
                <w:b/>
                <w:sz w:val="20"/>
              </w:rPr>
            </w:pPr>
            <w:r w:rsidRPr="00D21982">
              <w:rPr>
                <w:b/>
                <w:sz w:val="20"/>
              </w:rPr>
              <w:t>Organisations</w:t>
            </w:r>
          </w:p>
          <w:p w:rsidR="00D21982" w:rsidRPr="00D21982" w:rsidRDefault="00D21982" w:rsidP="00D21982">
            <w:pPr>
              <w:pStyle w:val="tablebullet"/>
            </w:pPr>
            <w:r w:rsidRPr="00D21982">
              <w:t xml:space="preserve">Commercial or non-commercial organisations (e.g. non-for-profit) </w:t>
            </w:r>
          </w:p>
          <w:p w:rsidR="00D21982" w:rsidRPr="00D21982" w:rsidRDefault="00D21982" w:rsidP="00D21982">
            <w:pPr>
              <w:pStyle w:val="tablebullet"/>
            </w:pPr>
            <w:r w:rsidRPr="00D21982">
              <w:t>Registered Business</w:t>
            </w:r>
          </w:p>
          <w:p w:rsidR="00D21982" w:rsidRPr="00D21982" w:rsidRDefault="00D21982" w:rsidP="00D21982">
            <w:pPr>
              <w:pStyle w:val="tablebullet"/>
            </w:pPr>
            <w:r w:rsidRPr="00D21982">
              <w:t>Registered Company</w:t>
            </w:r>
          </w:p>
          <w:p w:rsidR="00D21982" w:rsidRPr="00D21982" w:rsidRDefault="00D21982" w:rsidP="00D21982">
            <w:pPr>
              <w:ind w:left="0"/>
              <w:rPr>
                <w:b/>
                <w:sz w:val="20"/>
              </w:rPr>
            </w:pPr>
            <w:r w:rsidRPr="00D21982">
              <w:rPr>
                <w:b/>
                <w:sz w:val="20"/>
              </w:rPr>
              <w:t xml:space="preserve">Agents </w:t>
            </w:r>
          </w:p>
          <w:p w:rsidR="00D21982" w:rsidRPr="00D21982" w:rsidRDefault="00D21982" w:rsidP="00D21982">
            <w:pPr>
              <w:ind w:left="0"/>
              <w:rPr>
                <w:sz w:val="20"/>
              </w:rPr>
            </w:pPr>
            <w:r w:rsidRPr="00D21982">
              <w:rPr>
                <w:sz w:val="20"/>
              </w:rPr>
              <w:t>May be individuals or organisations acting on-behalf of an organisation or individual.</w:t>
            </w:r>
          </w:p>
        </w:tc>
        <w:tc>
          <w:tcPr>
            <w:tcW w:w="2825" w:type="dxa"/>
          </w:tcPr>
          <w:p w:rsidR="00D21982" w:rsidRPr="00D21982" w:rsidRDefault="00D21982" w:rsidP="00D21982">
            <w:pPr>
              <w:ind w:left="0"/>
              <w:jc w:val="center"/>
              <w:rPr>
                <w:sz w:val="20"/>
              </w:rPr>
            </w:pPr>
            <w:r w:rsidRPr="00D21982">
              <w:rPr>
                <w:b/>
                <w:sz w:val="20"/>
              </w:rPr>
              <w:t>Customer identity</w:t>
            </w:r>
            <w:r w:rsidRPr="00D21982">
              <w:rPr>
                <w:sz w:val="20"/>
              </w:rPr>
              <w:br/>
            </w:r>
            <w:r w:rsidRPr="00D21982">
              <w:rPr>
                <w:sz w:val="20"/>
              </w:rPr>
              <w:br/>
            </w:r>
            <w:r w:rsidRPr="00D21982">
              <w:rPr>
                <w:noProof/>
                <w:sz w:val="20"/>
                <w:lang w:eastAsia="en-AU"/>
              </w:rPr>
              <w:drawing>
                <wp:inline distT="0" distB="0" distL="0" distR="0" wp14:anchorId="40C72BBE" wp14:editId="33E5EF8A">
                  <wp:extent cx="445273" cy="948045"/>
                  <wp:effectExtent l="0" t="0" r="0" b="5080"/>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flipH="1">
                            <a:off x="0" y="0"/>
                            <a:ext cx="446779" cy="951252"/>
                          </a:xfrm>
                          <a:prstGeom prst="rect">
                            <a:avLst/>
                          </a:prstGeom>
                        </pic:spPr>
                      </pic:pic>
                    </a:graphicData>
                  </a:graphic>
                </wp:inline>
              </w:drawing>
            </w:r>
          </w:p>
          <w:p w:rsidR="00D21982" w:rsidRPr="00D21982" w:rsidRDefault="00D21982" w:rsidP="00D21982">
            <w:pPr>
              <w:ind w:left="0"/>
              <w:rPr>
                <w:b/>
                <w:sz w:val="20"/>
              </w:rPr>
            </w:pPr>
            <w:r w:rsidRPr="00D21982">
              <w:rPr>
                <w:b/>
                <w:sz w:val="20"/>
              </w:rPr>
              <w:t>Persons (individuals)</w:t>
            </w:r>
          </w:p>
          <w:p w:rsidR="00D21982" w:rsidRPr="00D21982" w:rsidRDefault="00D21982" w:rsidP="00D21982">
            <w:pPr>
              <w:pStyle w:val="tablebullet"/>
            </w:pPr>
            <w:r w:rsidRPr="00D21982">
              <w:t>Business (e.g. sole traders)</w:t>
            </w:r>
          </w:p>
          <w:p w:rsidR="00D21982" w:rsidRPr="00D21982" w:rsidRDefault="00D21982" w:rsidP="00D21982">
            <w:pPr>
              <w:ind w:left="0"/>
              <w:rPr>
                <w:b/>
                <w:sz w:val="20"/>
              </w:rPr>
            </w:pPr>
            <w:r w:rsidRPr="00D21982">
              <w:rPr>
                <w:b/>
                <w:sz w:val="20"/>
              </w:rPr>
              <w:t>Organisations</w:t>
            </w:r>
          </w:p>
          <w:p w:rsidR="00D21982" w:rsidRPr="00D21982" w:rsidRDefault="00D21982" w:rsidP="00D21982">
            <w:pPr>
              <w:pStyle w:val="tablebullet"/>
            </w:pPr>
            <w:r w:rsidRPr="00D21982">
              <w:t xml:space="preserve">Commercial or non-commercial organisations (e.g. non-for-profit) </w:t>
            </w:r>
          </w:p>
          <w:p w:rsidR="00D21982" w:rsidRPr="00D21982" w:rsidRDefault="00D21982" w:rsidP="00D21982">
            <w:pPr>
              <w:pStyle w:val="tablebullet"/>
            </w:pPr>
            <w:r w:rsidRPr="00D21982">
              <w:t>Registered Business</w:t>
            </w:r>
          </w:p>
          <w:p w:rsidR="00D21982" w:rsidRPr="00D21982" w:rsidRDefault="00D21982" w:rsidP="00D21982">
            <w:pPr>
              <w:pStyle w:val="tablebullet"/>
            </w:pPr>
            <w:r w:rsidRPr="00D21982">
              <w:t>Registered Company</w:t>
            </w:r>
          </w:p>
          <w:p w:rsidR="00D21982" w:rsidRPr="00D21982" w:rsidRDefault="00D21982" w:rsidP="00D21982">
            <w:pPr>
              <w:ind w:left="0"/>
              <w:rPr>
                <w:b/>
                <w:sz w:val="20"/>
              </w:rPr>
            </w:pPr>
            <w:r w:rsidRPr="00D21982">
              <w:rPr>
                <w:b/>
                <w:sz w:val="20"/>
              </w:rPr>
              <w:t xml:space="preserve">Agents </w:t>
            </w:r>
          </w:p>
          <w:p w:rsidR="00D21982" w:rsidRPr="00D21982" w:rsidRDefault="00D21982" w:rsidP="00D21982">
            <w:pPr>
              <w:ind w:left="0"/>
              <w:rPr>
                <w:sz w:val="20"/>
              </w:rPr>
            </w:pPr>
            <w:r w:rsidRPr="00D21982">
              <w:rPr>
                <w:sz w:val="20"/>
              </w:rPr>
              <w:t>May be individuals or organisations acting on-behalf of an organisation or individual.</w:t>
            </w:r>
          </w:p>
        </w:tc>
        <w:tc>
          <w:tcPr>
            <w:tcW w:w="2349" w:type="dxa"/>
          </w:tcPr>
          <w:p w:rsidR="00D21982" w:rsidRPr="00D21982" w:rsidRDefault="00D21982" w:rsidP="00D21982">
            <w:pPr>
              <w:ind w:left="0"/>
              <w:jc w:val="center"/>
              <w:rPr>
                <w:sz w:val="20"/>
              </w:rPr>
            </w:pPr>
            <w:r w:rsidRPr="00D21982">
              <w:rPr>
                <w:b/>
                <w:sz w:val="20"/>
              </w:rPr>
              <w:t>Partner identity</w:t>
            </w:r>
            <w:r w:rsidRPr="00D21982">
              <w:rPr>
                <w:sz w:val="20"/>
              </w:rPr>
              <w:br/>
            </w:r>
            <w:r w:rsidRPr="00D21982">
              <w:rPr>
                <w:sz w:val="20"/>
              </w:rPr>
              <w:br/>
            </w:r>
            <w:r w:rsidRPr="00D21982">
              <w:rPr>
                <w:noProof/>
                <w:sz w:val="20"/>
                <w:lang w:eastAsia="en-AU"/>
              </w:rPr>
              <w:drawing>
                <wp:inline distT="0" distB="0" distL="0" distR="0" wp14:anchorId="172360F8" wp14:editId="434BC9C8">
                  <wp:extent cx="445273" cy="948045"/>
                  <wp:effectExtent l="0" t="0" r="0" b="508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9"/>
                          <a:stretch>
                            <a:fillRect/>
                          </a:stretch>
                        </pic:blipFill>
                        <pic:spPr>
                          <a:xfrm flipH="1">
                            <a:off x="0" y="0"/>
                            <a:ext cx="449360" cy="956746"/>
                          </a:xfrm>
                          <a:prstGeom prst="rect">
                            <a:avLst/>
                          </a:prstGeom>
                        </pic:spPr>
                      </pic:pic>
                    </a:graphicData>
                  </a:graphic>
                </wp:inline>
              </w:drawing>
            </w:r>
          </w:p>
          <w:p w:rsidR="00D21982" w:rsidRPr="00D21982" w:rsidRDefault="00D21982" w:rsidP="00D21982">
            <w:pPr>
              <w:ind w:left="0"/>
              <w:rPr>
                <w:b/>
                <w:sz w:val="20"/>
              </w:rPr>
            </w:pPr>
            <w:r w:rsidRPr="00D21982">
              <w:rPr>
                <w:b/>
                <w:sz w:val="20"/>
              </w:rPr>
              <w:t>Persons (individuals)</w:t>
            </w:r>
          </w:p>
          <w:p w:rsidR="00D21982" w:rsidRPr="00D21982" w:rsidRDefault="00D21982" w:rsidP="00D21982">
            <w:pPr>
              <w:pStyle w:val="tablebullet"/>
            </w:pPr>
            <w:r w:rsidRPr="00D21982">
              <w:t>Volunteers (park ranges, firefighters)</w:t>
            </w:r>
          </w:p>
          <w:p w:rsidR="00D21982" w:rsidRPr="00D21982" w:rsidRDefault="00D21982" w:rsidP="00D21982">
            <w:pPr>
              <w:pStyle w:val="tablebullet"/>
            </w:pPr>
            <w:r w:rsidRPr="00D21982">
              <w:t>General Practitioners (provider)</w:t>
            </w:r>
          </w:p>
          <w:p w:rsidR="00D21982" w:rsidRPr="00D21982" w:rsidRDefault="00D21982" w:rsidP="00D21982">
            <w:pPr>
              <w:ind w:left="0"/>
              <w:rPr>
                <w:b/>
                <w:sz w:val="20"/>
              </w:rPr>
            </w:pPr>
            <w:r w:rsidRPr="00D21982">
              <w:rPr>
                <w:b/>
                <w:sz w:val="20"/>
              </w:rPr>
              <w:t>Organisations</w:t>
            </w:r>
          </w:p>
          <w:p w:rsidR="00D21982" w:rsidRPr="00D21982" w:rsidRDefault="00D21982" w:rsidP="00D21982">
            <w:pPr>
              <w:pStyle w:val="tablebullet"/>
            </w:pPr>
            <w:r w:rsidRPr="00D21982">
              <w:t>Contracted parties</w:t>
            </w:r>
          </w:p>
          <w:p w:rsidR="00D21982" w:rsidRPr="00D21982" w:rsidRDefault="00D21982" w:rsidP="00D21982">
            <w:pPr>
              <w:pStyle w:val="tablebullet"/>
            </w:pPr>
            <w:r w:rsidRPr="00D21982">
              <w:t>NGO’s</w:t>
            </w:r>
          </w:p>
          <w:p w:rsidR="00D21982" w:rsidRPr="00D21982" w:rsidRDefault="00D21982" w:rsidP="00D21982">
            <w:pPr>
              <w:pStyle w:val="tablebullet"/>
            </w:pPr>
            <w:r w:rsidRPr="00D21982">
              <w:t>business partners</w:t>
            </w:r>
          </w:p>
          <w:p w:rsidR="00D21982" w:rsidRPr="00D21982" w:rsidRDefault="00D21982" w:rsidP="00D21982">
            <w:pPr>
              <w:pStyle w:val="tablebullet"/>
            </w:pPr>
            <w:r w:rsidRPr="00D21982">
              <w:t>vendors, manufacturers</w:t>
            </w:r>
          </w:p>
          <w:p w:rsidR="00D21982" w:rsidRPr="00D21982" w:rsidRDefault="00D21982" w:rsidP="00D21982">
            <w:pPr>
              <w:pStyle w:val="tablebullet"/>
            </w:pPr>
            <w:r w:rsidRPr="00D21982">
              <w:t>suppliers</w:t>
            </w:r>
          </w:p>
          <w:p w:rsidR="00D21982" w:rsidRPr="00D21982" w:rsidRDefault="00D21982" w:rsidP="00D21982">
            <w:pPr>
              <w:pStyle w:val="tablebullet"/>
            </w:pPr>
            <w:r w:rsidRPr="00D21982">
              <w:t>service providers</w:t>
            </w:r>
          </w:p>
          <w:p w:rsidR="00D21982" w:rsidRPr="00D21982" w:rsidRDefault="00D21982" w:rsidP="00D21982">
            <w:pPr>
              <w:ind w:left="0"/>
              <w:rPr>
                <w:sz w:val="20"/>
              </w:rPr>
            </w:pPr>
          </w:p>
        </w:tc>
      </w:tr>
    </w:tbl>
    <w:p w:rsidR="00D21982" w:rsidRPr="00E81B8C" w:rsidRDefault="00D21982" w:rsidP="00D21982">
      <w:r w:rsidRPr="00E81B8C">
        <w:t>The examples above are not exhaustive and will vary per department.</w:t>
      </w:r>
      <w:r w:rsidRPr="00E81B8C">
        <w:rPr>
          <w:highlight w:val="yellow"/>
        </w:rPr>
        <w:t xml:space="preserve"> </w:t>
      </w:r>
    </w:p>
    <w:p w:rsidR="00D21982" w:rsidRPr="00E81B8C" w:rsidRDefault="00D21982" w:rsidP="00D21982">
      <w:r w:rsidRPr="00E81B8C">
        <w:t>Each of these types of identity often:</w:t>
      </w:r>
    </w:p>
    <w:p w:rsidR="00D21982" w:rsidRPr="00E81B8C" w:rsidRDefault="00D21982" w:rsidP="00EA0A61">
      <w:pPr>
        <w:pStyle w:val="Bullet1"/>
      </w:pPr>
      <w:r w:rsidRPr="00E81B8C">
        <w:t>are identified in different ways</w:t>
      </w:r>
    </w:p>
    <w:p w:rsidR="00D21982" w:rsidRPr="00E81B8C" w:rsidRDefault="00D21982" w:rsidP="00EA0A61">
      <w:pPr>
        <w:pStyle w:val="Bullet1"/>
      </w:pPr>
      <w:r w:rsidRPr="00E81B8C">
        <w:t>have (or choose to have) different identities</w:t>
      </w:r>
    </w:p>
    <w:p w:rsidR="00D21982" w:rsidRPr="00E81B8C" w:rsidRDefault="00D21982" w:rsidP="00EA0A61">
      <w:pPr>
        <w:pStyle w:val="Bullet1"/>
      </w:pPr>
      <w:r w:rsidRPr="00E81B8C">
        <w:lastRenderedPageBreak/>
        <w:t>identifiers issued by multiple identity providers</w:t>
      </w:r>
    </w:p>
    <w:p w:rsidR="00D21982" w:rsidRPr="00E81B8C" w:rsidRDefault="00D21982" w:rsidP="00EA0A61">
      <w:pPr>
        <w:pStyle w:val="Bullet1"/>
      </w:pPr>
      <w:r w:rsidRPr="00E81B8C">
        <w:t>hold different credentials issued by multiple credential providers</w:t>
      </w:r>
    </w:p>
    <w:p w:rsidR="00D21982" w:rsidRPr="00E81B8C" w:rsidRDefault="00D21982" w:rsidP="00EA0A61">
      <w:pPr>
        <w:pStyle w:val="Bullet1"/>
      </w:pPr>
      <w:r w:rsidRPr="00E81B8C">
        <w:t>are assigned different access entitlements</w:t>
      </w:r>
    </w:p>
    <w:p w:rsidR="00D21982" w:rsidRPr="00E81B8C" w:rsidRDefault="00D21982" w:rsidP="00EA0A61">
      <w:pPr>
        <w:pStyle w:val="Bullet1"/>
      </w:pPr>
      <w:r w:rsidRPr="00E81B8C">
        <w:t>use different devices</w:t>
      </w:r>
    </w:p>
    <w:p w:rsidR="00D21982" w:rsidRPr="00E81B8C" w:rsidRDefault="00D21982" w:rsidP="00EA0A61">
      <w:pPr>
        <w:pStyle w:val="Bullet1"/>
      </w:pPr>
      <w:r w:rsidRPr="00E81B8C">
        <w:t>access different services (or applications).</w:t>
      </w:r>
    </w:p>
    <w:p w:rsidR="006A6213" w:rsidRDefault="00D21982" w:rsidP="00D21982">
      <w:pPr>
        <w:pStyle w:val="BodyText"/>
      </w:pPr>
      <w:r w:rsidRPr="00E81B8C">
        <w:t>The Information models documents details these relationships</w:t>
      </w:r>
    </w:p>
    <w:p w:rsidR="006A6213" w:rsidRDefault="00EA0A61" w:rsidP="00EA0A61">
      <w:pPr>
        <w:pStyle w:val="Heading2"/>
      </w:pPr>
      <w:bookmarkStart w:id="12" w:name="_Toc483475310"/>
      <w:bookmarkStart w:id="13" w:name="_Toc484085288"/>
      <w:r>
        <w:t>Federated identity models</w:t>
      </w:r>
      <w:bookmarkEnd w:id="12"/>
      <w:bookmarkEnd w:id="13"/>
    </w:p>
    <w:p w:rsidR="00EA0A61" w:rsidRPr="00E81B8C" w:rsidRDefault="00EA0A61" w:rsidP="00EA0A61">
      <w:r w:rsidRPr="00E81B8C">
        <w:t>A federation is a cooperative agreement between autonomous entities that have agreed to work together, supported by trust relationships and standards to support interoperability</w:t>
      </w:r>
      <w:r w:rsidRPr="00E81B8C">
        <w:endnoteReference w:id="6"/>
      </w:r>
      <w:r w:rsidRPr="00E81B8C">
        <w:t xml:space="preserve">. </w:t>
      </w:r>
    </w:p>
    <w:p w:rsidR="00EA0A61" w:rsidRPr="00E81B8C" w:rsidRDefault="00EA0A61" w:rsidP="00EA0A61">
      <w:r w:rsidRPr="00E81B8C">
        <w:t xml:space="preserve">At a technical level, identity federation protocols allow for the conveyance of authentication, authorisation or identity information across a set of networked systems, domains or entities. </w:t>
      </w:r>
    </w:p>
    <w:p w:rsidR="00EA0A61" w:rsidRPr="00E81B8C" w:rsidRDefault="00EA0A61" w:rsidP="00EA0A61">
      <w:r w:rsidRPr="00E81B8C">
        <w:t>The objective is to: </w:t>
      </w:r>
    </w:p>
    <w:p w:rsidR="00EA0A61" w:rsidRPr="00E81B8C" w:rsidRDefault="00EA0A61" w:rsidP="00EA0A61">
      <w:pPr>
        <w:pStyle w:val="Bullet1"/>
      </w:pPr>
      <w:r w:rsidRPr="00E81B8C">
        <w:t>flow identity information (attributes) between domains</w:t>
      </w:r>
    </w:p>
    <w:p w:rsidR="00EA0A61" w:rsidRPr="00E81B8C" w:rsidRDefault="00EA0A61" w:rsidP="00EA0A61">
      <w:pPr>
        <w:pStyle w:val="Bullet1"/>
      </w:pPr>
      <w:r w:rsidRPr="00E81B8C">
        <w:t>communicate trust and confidence as to the assurance of an identity and/or credential</w:t>
      </w:r>
    </w:p>
    <w:p w:rsidR="00EA0A61" w:rsidRPr="00E81B8C" w:rsidRDefault="00EA0A61" w:rsidP="00EA0A61">
      <w:pPr>
        <w:pStyle w:val="Bullet1"/>
      </w:pPr>
      <w:r w:rsidRPr="00E81B8C">
        <w:t>reuse existing authentications across domains to provide single sign-on</w:t>
      </w:r>
    </w:p>
    <w:p w:rsidR="00EA0A61" w:rsidRPr="00E81B8C" w:rsidRDefault="00EA0A61" w:rsidP="00EA0A61">
      <w:pPr>
        <w:pStyle w:val="Bullet1"/>
      </w:pPr>
      <w:r w:rsidRPr="00E81B8C">
        <w:t>communicate contextual information, and associated risk events between domains</w:t>
      </w:r>
    </w:p>
    <w:p w:rsidR="00EA0A61" w:rsidRPr="00E81B8C" w:rsidRDefault="00EA0A61" w:rsidP="00EA0A61">
      <w:pPr>
        <w:pStyle w:val="Bullet1"/>
      </w:pPr>
      <w:r w:rsidRPr="00E81B8C">
        <w:t>avoiding wherever possible token and format translations.</w:t>
      </w:r>
    </w:p>
    <w:p w:rsidR="00EA0A61" w:rsidRPr="00E81B8C" w:rsidRDefault="00EA0A61" w:rsidP="00EA0A61">
      <w:r w:rsidRPr="00E81B8C">
        <w:t>This blueprint identifies three specific use case models for federated identity across organisational boundaries for the purposes of:</w:t>
      </w:r>
    </w:p>
    <w:p w:rsidR="00EA0A61" w:rsidRPr="00E81B8C" w:rsidRDefault="00EA0A61" w:rsidP="00EA0A61">
      <w:pPr>
        <w:pStyle w:val="Bullet1"/>
      </w:pPr>
      <w:r w:rsidRPr="00E81B8C">
        <w:t>federated authentication (for direct access to services)</w:t>
      </w:r>
    </w:p>
    <w:p w:rsidR="00EA0A61" w:rsidRPr="00E81B8C" w:rsidRDefault="00EA0A61" w:rsidP="00EA0A61">
      <w:pPr>
        <w:pStyle w:val="Bullet1"/>
      </w:pPr>
      <w:r w:rsidRPr="00E81B8C">
        <w:t>federated delegated authorisation (for delegated access to services)</w:t>
      </w:r>
    </w:p>
    <w:p w:rsidR="00EA0A61" w:rsidRPr="00EA0A61" w:rsidRDefault="00EA0A61" w:rsidP="00EA0A61">
      <w:pPr>
        <w:pStyle w:val="Bullet1"/>
      </w:pPr>
      <w:r w:rsidRPr="00E81B8C">
        <w:t>federated attribute exchange (for exchanging information between services).</w:t>
      </w:r>
    </w:p>
    <w:p w:rsidR="006A6213" w:rsidRDefault="00323B4D" w:rsidP="00EA0A61">
      <w:pPr>
        <w:pStyle w:val="Heading3"/>
      </w:pPr>
      <w:r>
        <w:t>Federated</w:t>
      </w:r>
      <w:r w:rsidR="00EA0A61">
        <w:t xml:space="preserve"> authentication</w:t>
      </w:r>
    </w:p>
    <w:p w:rsidR="00EA0A61" w:rsidRPr="00E81B8C" w:rsidRDefault="00EA0A61" w:rsidP="00EA0A61">
      <w:r w:rsidRPr="00E81B8C">
        <w:t xml:space="preserve">Federated authentication involves authenticating an individual subject known in one domain and authorising access to a resource/s hosted in another domain. </w:t>
      </w:r>
    </w:p>
    <w:p w:rsidR="00EA0A61" w:rsidRPr="00E81B8C" w:rsidRDefault="00EA0A61" w:rsidP="00EA0A61">
      <w:r w:rsidRPr="00E81B8C">
        <w:t>The diagram below depicts the role of the identity provider which is responsible for enrolling the subject including identity proofing, issuing a credential to authenticate the subject for repeat interactions. Once the subject has been authenticated, the identity provider issues a ‘digital identity assertion’ representing the attributes of the subject to the Relying Party which grants access to the protected resource based upon access (authorisation) polices.</w:t>
      </w:r>
    </w:p>
    <w:p w:rsidR="00EA0A61" w:rsidRPr="00E81B8C" w:rsidRDefault="00EA0A61" w:rsidP="00323B4D">
      <w:pPr>
        <w:pStyle w:val="Blankline"/>
      </w:pPr>
    </w:p>
    <w:p w:rsidR="00EA0A61" w:rsidRPr="00E81B8C" w:rsidRDefault="00EA0A61" w:rsidP="00EA0A61">
      <w:r w:rsidRPr="00E81B8C">
        <w:rPr>
          <w:noProof/>
          <w:lang w:eastAsia="en-AU"/>
        </w:rPr>
        <w:drawing>
          <wp:inline distT="0" distB="0" distL="0" distR="0" wp14:anchorId="7845827B" wp14:editId="1DAB91D0">
            <wp:extent cx="5734050" cy="1343025"/>
            <wp:effectExtent l="0" t="0" r="0" b="952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5734050" cy="1343025"/>
                    </a:xfrm>
                    <a:prstGeom prst="rect">
                      <a:avLst/>
                    </a:prstGeom>
                  </pic:spPr>
                </pic:pic>
              </a:graphicData>
            </a:graphic>
          </wp:inline>
        </w:drawing>
      </w:r>
    </w:p>
    <w:p w:rsidR="00EA0A61" w:rsidRDefault="00EA0A61" w:rsidP="00EA0A61">
      <w:pPr>
        <w:pStyle w:val="BodyText"/>
      </w:pPr>
      <w:r w:rsidRPr="00E81B8C">
        <w:t xml:space="preserve">The diagram below portrays from a departmental perspective, the architecture for relying upon external entities (identity providers) to authenticate various user consistencies such as customers and partners which are not managed by the department. The relying party’s access management capability must be able to consume multiple identity attribute assertion from different identity providers. To handle this complexity natively, an attribute-based </w:t>
      </w:r>
      <w:r w:rsidRPr="00E81B8C">
        <w:lastRenderedPageBreak/>
        <w:t>access control (ABAC) model is typically used, which may be translated to traditional role-based access control (RBAC) models used by local resources.</w:t>
      </w:r>
    </w:p>
    <w:p w:rsidR="00EA0A61" w:rsidRDefault="00323B4D" w:rsidP="00EA0A61">
      <w:pPr>
        <w:pStyle w:val="BodyText"/>
      </w:pPr>
      <w:r w:rsidRPr="001E7FB1">
        <w:rPr>
          <w:noProof/>
        </w:rPr>
        <w:drawing>
          <wp:inline distT="0" distB="0" distL="0" distR="0" wp14:anchorId="40A2D9B6" wp14:editId="4286F10F">
            <wp:extent cx="5759450" cy="2695887"/>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768296" cy="2700027"/>
                    </a:xfrm>
                    <a:prstGeom prst="rect">
                      <a:avLst/>
                    </a:prstGeom>
                  </pic:spPr>
                </pic:pic>
              </a:graphicData>
            </a:graphic>
          </wp:inline>
        </w:drawing>
      </w:r>
    </w:p>
    <w:p w:rsidR="00EA0A61" w:rsidRDefault="00323B4D" w:rsidP="00323B4D">
      <w:pPr>
        <w:pStyle w:val="Heading3"/>
      </w:pPr>
      <w:r w:rsidRPr="001E7FB1">
        <w:t>Federated delegated authori</w:t>
      </w:r>
      <w:r>
        <w:t>s</w:t>
      </w:r>
      <w:r w:rsidRPr="001E7FB1">
        <w:t>ation</w:t>
      </w:r>
    </w:p>
    <w:p w:rsidR="00323B4D" w:rsidRPr="00716A68" w:rsidRDefault="00323B4D" w:rsidP="00323B4D">
      <w:pPr>
        <w:pStyle w:val="Heading4"/>
      </w:pPr>
      <w:r w:rsidRPr="00716A68">
        <w:t>User controlled</w:t>
      </w:r>
    </w:p>
    <w:p w:rsidR="00323B4D" w:rsidRPr="00716A68" w:rsidRDefault="00323B4D" w:rsidP="00323B4D">
      <w:r w:rsidRPr="00716A68">
        <w:t>User controlled consent models centre around an individual delegating access to their resources to intermediately act on their behalf – either:</w:t>
      </w:r>
    </w:p>
    <w:p w:rsidR="00323B4D" w:rsidRPr="00716A68" w:rsidRDefault="00323B4D" w:rsidP="00323B4D">
      <w:pPr>
        <w:pStyle w:val="Bullet1"/>
      </w:pPr>
      <w:r w:rsidRPr="00716A68">
        <w:t>a third-party application (person-to-self)</w:t>
      </w:r>
    </w:p>
    <w:p w:rsidR="00323B4D" w:rsidRPr="00716A68" w:rsidRDefault="00323B4D" w:rsidP="00323B4D">
      <w:pPr>
        <w:pStyle w:val="Bullet1"/>
      </w:pPr>
      <w:r w:rsidRPr="00716A68">
        <w:t xml:space="preserve">another person or delegated agent </w:t>
      </w:r>
      <w:r w:rsidRPr="00716A68">
        <w:br/>
        <w:t>(person-to-person)</w:t>
      </w:r>
    </w:p>
    <w:p w:rsidR="00323B4D" w:rsidRPr="00716A68" w:rsidRDefault="00323B4D" w:rsidP="00323B4D">
      <w:pPr>
        <w:pStyle w:val="Bullet1"/>
      </w:pPr>
      <w:r w:rsidRPr="00716A68">
        <w:t xml:space="preserve">another organisation or delegated agent </w:t>
      </w:r>
      <w:r w:rsidRPr="00716A68">
        <w:br/>
        <w:t>(person-to-organisation).</w:t>
      </w:r>
    </w:p>
    <w:p w:rsidR="00323B4D" w:rsidRPr="00716A68" w:rsidRDefault="00323B4D" w:rsidP="00323B4D">
      <w:r w:rsidRPr="00716A68">
        <w:t xml:space="preserve">User-controlled consent models typically apply to customer scenarios where the user has supplied information and evidence about themselves for consuming online services on a regular basis. For person-to-person and person-to-organisation models, the requesting party often needs to be authenticated using federated authentication. </w:t>
      </w:r>
      <w:r w:rsidRPr="00323B4D">
        <w:rPr>
          <w:vertAlign w:val="superscript"/>
        </w:rPr>
        <w:endnoteReference w:id="7"/>
      </w:r>
    </w:p>
    <w:p w:rsidR="00323B4D" w:rsidRPr="00716A68" w:rsidRDefault="00323B4D" w:rsidP="00323B4D">
      <w:r w:rsidRPr="00716A68">
        <w:rPr>
          <w:noProof/>
          <w:lang w:eastAsia="en-AU"/>
        </w:rPr>
        <w:lastRenderedPageBreak/>
        <w:drawing>
          <wp:inline distT="0" distB="0" distL="0" distR="0" wp14:anchorId="416D930A" wp14:editId="23AEC0EC">
            <wp:extent cx="5041900" cy="4163489"/>
            <wp:effectExtent l="0" t="0" r="6350" b="889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50487" cy="4170580"/>
                    </a:xfrm>
                    <a:prstGeom prst="rect">
                      <a:avLst/>
                    </a:prstGeom>
                  </pic:spPr>
                </pic:pic>
              </a:graphicData>
            </a:graphic>
          </wp:inline>
        </w:drawing>
      </w:r>
    </w:p>
    <w:p w:rsidR="00323B4D" w:rsidRPr="00716A68" w:rsidRDefault="00323B4D" w:rsidP="00323B4D">
      <w:pPr>
        <w:pStyle w:val="Heading4"/>
      </w:pPr>
      <w:r w:rsidRPr="00716A68">
        <w:t>Enterprise controlled</w:t>
      </w:r>
    </w:p>
    <w:p w:rsidR="00323B4D" w:rsidRPr="00716A68" w:rsidRDefault="00323B4D" w:rsidP="00323B4D">
      <w:r w:rsidRPr="00716A68">
        <w:t xml:space="preserve">By comparison, authorisation to government-owned resources are controlled by an enterprise security policy. The access control policy governs access to federated resources (applications, data, files and content) across different entities. </w:t>
      </w:r>
    </w:p>
    <w:p w:rsidR="00323B4D" w:rsidRPr="00716A68" w:rsidRDefault="00323B4D" w:rsidP="00323B4D">
      <w:r w:rsidRPr="00716A68">
        <w:t>A federated governance model over the access policy allows different organisational entities to have different responsibilities for administering different aspects of policies and their dependent attributes.</w:t>
      </w:r>
    </w:p>
    <w:p w:rsidR="00323B4D" w:rsidRPr="00716A68" w:rsidRDefault="00323B4D" w:rsidP="00323B4D">
      <w:r w:rsidRPr="00716A68">
        <w:t xml:space="preserve">Resources must delegate (externalise) authorisation decisions to a point of authority which grants or denies access based upon access policy. </w:t>
      </w:r>
    </w:p>
    <w:p w:rsidR="00323B4D" w:rsidRPr="00716A68" w:rsidRDefault="00323B4D" w:rsidP="00323B4D">
      <w:r w:rsidRPr="00716A68">
        <w:t xml:space="preserve">The access policy allows complex rules and conditions for external users (employees, contractors, partners, and customers) to be modeled in business terms and rapidly changed. </w:t>
      </w:r>
    </w:p>
    <w:p w:rsidR="00323B4D" w:rsidRPr="00716A68" w:rsidRDefault="00323B4D" w:rsidP="00323B4D">
      <w:r w:rsidRPr="00716A68">
        <w:t>A decision to grant access to a resource is based upon the subject’s attributes (from an authentication event), resource attributes, requested action and other environmental information (e.g. a declared disaster event, threat level increase, missing young person etc.).</w:t>
      </w:r>
    </w:p>
    <w:p w:rsidR="00323B4D" w:rsidRPr="00716A68" w:rsidRDefault="00323B4D" w:rsidP="00323B4D"/>
    <w:p w:rsidR="00323B4D" w:rsidRPr="00716A68" w:rsidRDefault="00323B4D" w:rsidP="00323B4D">
      <w:r w:rsidRPr="00716A68">
        <w:rPr>
          <w:noProof/>
          <w:lang w:eastAsia="en-AU"/>
        </w:rPr>
        <w:lastRenderedPageBreak/>
        <w:drawing>
          <wp:inline distT="0" distB="0" distL="0" distR="0" wp14:anchorId="022BF2DB" wp14:editId="6B107C38">
            <wp:extent cx="4933950" cy="5126719"/>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37070" cy="5129961"/>
                    </a:xfrm>
                    <a:prstGeom prst="rect">
                      <a:avLst/>
                    </a:prstGeom>
                  </pic:spPr>
                </pic:pic>
              </a:graphicData>
            </a:graphic>
          </wp:inline>
        </w:drawing>
      </w:r>
    </w:p>
    <w:p w:rsidR="00323B4D" w:rsidRDefault="00323B4D" w:rsidP="00323B4D">
      <w:pPr>
        <w:pStyle w:val="BodyText"/>
      </w:pPr>
      <w:r w:rsidRPr="00716A68">
        <w:t>The US Government since 2011 has recommend this model as the preferred access control model for ‘enabling information sharing between diverse and disparate organi</w:t>
      </w:r>
      <w:r>
        <w:t>s</w:t>
      </w:r>
      <w:r w:rsidRPr="00716A68">
        <w:t>ations’. QGCIO chairs an agency Authorisation Working Group as part of the Information Management Community of Practice (CoP).</w:t>
      </w:r>
    </w:p>
    <w:p w:rsidR="00323B4D" w:rsidRPr="00323B4D" w:rsidRDefault="00323B4D" w:rsidP="00323B4D">
      <w:pPr>
        <w:pStyle w:val="Heading3"/>
      </w:pPr>
      <w:r w:rsidRPr="002422A6">
        <w:t>Federated attribute exchange</w:t>
      </w:r>
    </w:p>
    <w:p w:rsidR="00323B4D" w:rsidRPr="00716A68" w:rsidRDefault="00323B4D" w:rsidP="00323B4D">
      <w:r w:rsidRPr="00716A68">
        <w:t>The exchange of identity attributes is critical to underpinning the above processes for federated authentication and delegated authorisation. Specifically, the exchange of identity related attributes to support:</w:t>
      </w:r>
    </w:p>
    <w:p w:rsidR="00323B4D" w:rsidRPr="00716A68" w:rsidRDefault="00323B4D" w:rsidP="0098609A">
      <w:pPr>
        <w:pStyle w:val="Numberlist1"/>
        <w:numPr>
          <w:ilvl w:val="0"/>
          <w:numId w:val="35"/>
        </w:numPr>
        <w:ind w:left="1134" w:hanging="425"/>
      </w:pPr>
      <w:r w:rsidRPr="00716A68">
        <w:t>sharing of attribute information held by one entity that are needed by another</w:t>
      </w:r>
    </w:p>
    <w:p w:rsidR="00323B4D" w:rsidRPr="00716A68" w:rsidRDefault="00323B4D" w:rsidP="0098609A">
      <w:pPr>
        <w:pStyle w:val="Numberlist1"/>
        <w:numPr>
          <w:ilvl w:val="0"/>
          <w:numId w:val="35"/>
        </w:numPr>
        <w:ind w:left="1134" w:hanging="425"/>
      </w:pPr>
      <w:r w:rsidRPr="00716A68">
        <w:t>validation of attribute information against authoritative sources (typically for identity proofing or authorisation).</w:t>
      </w:r>
    </w:p>
    <w:p w:rsidR="00EA0A61" w:rsidRDefault="00323B4D" w:rsidP="00323B4D">
      <w:pPr>
        <w:pStyle w:val="BodyText"/>
      </w:pPr>
      <w:r w:rsidRPr="00716A68">
        <w:t>The blueprint focus on the sharing, validation and interchange of attributes specific to identity information, however similar models may equally apply to other information management domains.</w:t>
      </w:r>
    </w:p>
    <w:p w:rsidR="00EA0A61" w:rsidRDefault="00285476" w:rsidP="00285476">
      <w:pPr>
        <w:pStyle w:val="Heading2"/>
      </w:pPr>
      <w:bookmarkStart w:id="14" w:name="_Toc483475311"/>
      <w:bookmarkStart w:id="15" w:name="_Toc484085289"/>
      <w:r>
        <w:t>Traditional identity and access management reference model</w:t>
      </w:r>
      <w:bookmarkEnd w:id="14"/>
      <w:bookmarkEnd w:id="15"/>
    </w:p>
    <w:p w:rsidR="00285476" w:rsidRPr="00716A68" w:rsidRDefault="00285476" w:rsidP="00285476">
      <w:r w:rsidRPr="00716A68">
        <w:t xml:space="preserve">Currently most departments manage identity lifecycles themselves using a closed-loop process that starts with information in a central authoritative repository managed by the </w:t>
      </w:r>
      <w:r w:rsidRPr="00716A68">
        <w:lastRenderedPageBreak/>
        <w:t xml:space="preserve">organisation and propagates updates in a hierarchical fashion to other systems managed by the organisation. </w:t>
      </w:r>
    </w:p>
    <w:p w:rsidR="00285476" w:rsidRPr="00716A68" w:rsidRDefault="00285476" w:rsidP="00285476">
      <w:r w:rsidRPr="00716A68">
        <w:t xml:space="preserve">As organisations become more and more federated and collaborative, the need to send identity information to other partner systems, and to receive identity information from various partner systems increases. </w:t>
      </w:r>
    </w:p>
    <w:p w:rsidR="00285476" w:rsidRPr="00716A68" w:rsidRDefault="00285476" w:rsidP="00285476">
      <w:r w:rsidRPr="00716A68">
        <w:t>The diagram below depicts an abstract reference model for identity and access management comprising of four core functions (lifecycle management, credential management, access management and governance) to aid the management of:</w:t>
      </w:r>
    </w:p>
    <w:p w:rsidR="00285476" w:rsidRPr="00716A68" w:rsidRDefault="00285476" w:rsidP="00285476">
      <w:pPr>
        <w:pStyle w:val="Bullet1"/>
      </w:pPr>
      <w:r w:rsidRPr="00716A68">
        <w:t>entities (a real-world person, organisation, device, applications or ‘thing’)</w:t>
      </w:r>
    </w:p>
    <w:p w:rsidR="00285476" w:rsidRPr="00716A68" w:rsidRDefault="00285476" w:rsidP="00285476">
      <w:pPr>
        <w:pStyle w:val="Bullet1"/>
      </w:pPr>
      <w:r w:rsidRPr="00716A68">
        <w:t>identities representing an entity within a particular domain</w:t>
      </w:r>
    </w:p>
    <w:p w:rsidR="00285476" w:rsidRPr="00716A68" w:rsidRDefault="00285476" w:rsidP="00285476">
      <w:pPr>
        <w:pStyle w:val="Bullet1"/>
      </w:pPr>
      <w:r w:rsidRPr="00716A68">
        <w:t>identity information which includes attributes, identifiers and credentials.</w:t>
      </w:r>
    </w:p>
    <w:p w:rsidR="00285476" w:rsidRPr="00716A68" w:rsidRDefault="00285476" w:rsidP="00285476">
      <w:r w:rsidRPr="00716A68">
        <w:object w:dxaOrig="10252" w:dyaOrig="7965">
          <v:shape id="_x0000_i1026" type="#_x0000_t75" style="width:448pt;height:348.5pt" o:ole="">
            <v:imagedata r:id="rId34" o:title=""/>
          </v:shape>
          <o:OLEObject Type="Embed" ProgID="Visio.Drawing.15" ShapeID="_x0000_i1026" DrawAspect="Content" ObjectID="_1558186732" r:id="rId35"/>
        </w:object>
      </w:r>
    </w:p>
    <w:p w:rsidR="00EA0A61" w:rsidRDefault="00285476" w:rsidP="00285476">
      <w:pPr>
        <w:pStyle w:val="BodyText"/>
      </w:pPr>
      <w:r w:rsidRPr="00716A68">
        <w:t>Federation or ‘sharing identity information’ about entities across organisational boundaries requires the traditional identity management system to be ‘broken in half’, so that production of identities, credentials, attributes can happen in one organisation, and consumption in another relying organisation. Each party must perform a federation role and meet certain criteria (federation standards) to expose or consume identity information in an interoperable format.</w:t>
      </w:r>
    </w:p>
    <w:p w:rsidR="00285476" w:rsidRDefault="00285476" w:rsidP="00285476">
      <w:pPr>
        <w:pStyle w:val="Heading1"/>
      </w:pPr>
      <w:bookmarkStart w:id="16" w:name="_Toc484085290"/>
      <w:r>
        <w:t>Federation use cases</w:t>
      </w:r>
      <w:bookmarkEnd w:id="16"/>
    </w:p>
    <w:p w:rsidR="00285476" w:rsidRDefault="00285476" w:rsidP="00285476">
      <w:pPr>
        <w:pStyle w:val="BodyText"/>
      </w:pPr>
      <w:r w:rsidRPr="00716A68">
        <w:t>The following table outlines a list of typical high level service delivery scenarios which cross domain boundaries and require some form of identity federation.</w:t>
      </w:r>
    </w:p>
    <w:p w:rsidR="00285476" w:rsidRDefault="00285476" w:rsidP="00285476">
      <w:pPr>
        <w:pStyle w:val="Heading2"/>
      </w:pPr>
      <w:bookmarkStart w:id="17" w:name="_Toc484085291"/>
      <w:r>
        <w:lastRenderedPageBreak/>
        <w:t>Federated authentication</w:t>
      </w:r>
      <w:bookmarkEnd w:id="17"/>
    </w:p>
    <w:p w:rsidR="000C416E" w:rsidRPr="00716A68" w:rsidRDefault="000C416E" w:rsidP="000C416E">
      <w:r w:rsidRPr="00716A68">
        <w:t>These use cases focus on authenticating an individual subject known by an identity provider in one domain to access to a resource/s provided by a relying party in another domain.</w:t>
      </w:r>
      <w:r w:rsidRPr="00716A68">
        <w:br/>
      </w:r>
    </w:p>
    <w:tbl>
      <w:tblPr>
        <w:tblStyle w:val="Table-LowInk"/>
        <w:tblW w:w="9072" w:type="dxa"/>
        <w:tblInd w:w="562" w:type="dxa"/>
        <w:tblLook w:val="04A0" w:firstRow="1" w:lastRow="0" w:firstColumn="1" w:lastColumn="0" w:noHBand="0" w:noVBand="1"/>
      </w:tblPr>
      <w:tblGrid>
        <w:gridCol w:w="483"/>
        <w:gridCol w:w="1628"/>
        <w:gridCol w:w="3935"/>
        <w:gridCol w:w="3026"/>
      </w:tblGrid>
      <w:tr w:rsidR="000C416E" w:rsidRPr="00716A68" w:rsidTr="00BA74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w:t>
            </w:r>
          </w:p>
        </w:tc>
        <w:tc>
          <w:tcPr>
            <w:tcW w:w="1628" w:type="dxa"/>
          </w:tcPr>
          <w:p w:rsidR="000C416E" w:rsidRPr="00716A68" w:rsidRDefault="000C416E" w:rsidP="000C416E">
            <w:pPr>
              <w:ind w:left="0"/>
              <w:cnfStyle w:val="100000000000" w:firstRow="1" w:lastRow="0" w:firstColumn="0" w:lastColumn="0" w:oddVBand="0" w:evenVBand="0" w:oddHBand="0" w:evenHBand="0" w:firstRowFirstColumn="0" w:firstRowLastColumn="0" w:lastRowFirstColumn="0" w:lastRowLastColumn="0"/>
            </w:pPr>
            <w:r w:rsidRPr="00716A68">
              <w:t>From/to domain/s</w:t>
            </w:r>
          </w:p>
        </w:tc>
        <w:tc>
          <w:tcPr>
            <w:tcW w:w="3935" w:type="dxa"/>
          </w:tcPr>
          <w:p w:rsidR="000C416E" w:rsidRPr="00716A68" w:rsidRDefault="000C416E" w:rsidP="000C416E">
            <w:pPr>
              <w:ind w:left="0"/>
              <w:cnfStyle w:val="100000000000" w:firstRow="1" w:lastRow="0" w:firstColumn="0" w:lastColumn="0" w:oddVBand="0" w:evenVBand="0" w:oddHBand="0" w:evenHBand="0" w:firstRowFirstColumn="0" w:firstRowLastColumn="0" w:lastRowFirstColumn="0" w:lastRowLastColumn="0"/>
            </w:pPr>
            <w:r w:rsidRPr="00716A68">
              <w:t>Description/examples</w:t>
            </w:r>
          </w:p>
        </w:tc>
        <w:tc>
          <w:tcPr>
            <w:tcW w:w="3026" w:type="dxa"/>
          </w:tcPr>
          <w:p w:rsidR="000C416E" w:rsidRPr="00716A68" w:rsidRDefault="000C416E" w:rsidP="000C416E">
            <w:pPr>
              <w:ind w:left="0"/>
              <w:cnfStyle w:val="100000000000" w:firstRow="1" w:lastRow="0" w:firstColumn="0" w:lastColumn="0" w:oddVBand="0" w:evenVBand="0" w:oddHBand="0" w:evenHBand="0" w:firstRowFirstColumn="0" w:firstRowLastColumn="0" w:lastRowFirstColumn="0" w:lastRowLastColumn="0"/>
            </w:pPr>
            <w:r w:rsidRPr="00716A68">
              <w:t>Challenges/considerations</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1</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Agency </w:t>
            </w:r>
            <w:r w:rsidRPr="00716A68">
              <w:sym w:font="Wingdings" w:char="F0E0"/>
            </w:r>
            <w:r w:rsidRPr="00716A68">
              <w:t xml:space="preserve"> Partner</w:t>
            </w:r>
          </w:p>
        </w:tc>
        <w:tc>
          <w:tcPr>
            <w:tcW w:w="3935"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Agency staff accessing information stored in a non-government organisation’s (NGO) ICT system or API</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Agency staff accessing outsourced cloud services or API’s</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An agency establishing an ‘App Store’ of multiple application providers for applications categories, where users can choose a provider and use their existing identity.</w:t>
            </w:r>
          </w:p>
        </w:tc>
        <w:tc>
          <w:tcPr>
            <w:tcW w:w="3026"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Identity standards support by relying parties</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Standards to achieve closed loop identity provisioning and de-provisioning across domains</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2</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Partner </w:t>
            </w:r>
            <w:r w:rsidRPr="00716A68">
              <w:sym w:font="Wingdings" w:char="F0E0"/>
            </w:r>
            <w:r w:rsidRPr="00716A68">
              <w:t xml:space="preserve"> Agency</w:t>
            </w:r>
          </w:p>
        </w:tc>
        <w:tc>
          <w:tcPr>
            <w:tcW w:w="3935"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An NGO partner accessing agency information stored in an agency ICT system or API</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In the ‘App Store’ model above, the individual partner accessing information stored in an agency ICT system or API</w:t>
            </w:r>
          </w:p>
        </w:tc>
        <w:tc>
          <w:tcPr>
            <w:tcW w:w="3026" w:type="dxa"/>
            <w:vMerge w:val="restart"/>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Identity assurance and trust when accepting partner identities</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The partner may have a large user base which cannot effectively be provisioned prior to their first service access attempt.</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3</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Partner </w:t>
            </w:r>
            <w:r w:rsidRPr="00716A68">
              <w:sym w:font="Wingdings" w:char="F0E0"/>
            </w:r>
            <w:r w:rsidRPr="00716A68">
              <w:t xml:space="preserve"> whole-of-government</w:t>
            </w:r>
          </w:p>
        </w:tc>
        <w:tc>
          <w:tcPr>
            <w:tcW w:w="3935"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Same as the above, with the ICT system being whole-of-government</w:t>
            </w:r>
          </w:p>
        </w:tc>
        <w:tc>
          <w:tcPr>
            <w:tcW w:w="3026" w:type="dxa"/>
            <w:vMerge/>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4</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Customer </w:t>
            </w:r>
            <w:r w:rsidRPr="00716A68">
              <w:sym w:font="Wingdings" w:char="F0E0"/>
            </w:r>
            <w:r w:rsidRPr="00716A68">
              <w:t xml:space="preserve"> Agency</w:t>
            </w:r>
          </w:p>
        </w:tc>
        <w:tc>
          <w:tcPr>
            <w:tcW w:w="3935"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 xml:space="preserve">Customers accessing agency services </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 xml:space="preserve">Businesses accessing agency services </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Volunteers accessing agency systems</w:t>
            </w:r>
          </w:p>
        </w:tc>
        <w:tc>
          <w:tcPr>
            <w:tcW w:w="3026" w:type="dxa"/>
            <w:vMerge w:val="restart"/>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Providing choice of credentials to customers</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 xml:space="preserve">Strong customer identification </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 xml:space="preserve">Remote and In-person identity proofing </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Security and customer privacy control including pseudonymous access</w:t>
            </w:r>
          </w:p>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Existing know-customer scenarios and agency identity provider</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5</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Customer </w:t>
            </w:r>
            <w:r w:rsidRPr="00716A68">
              <w:sym w:font="Wingdings" w:char="F0E0"/>
            </w:r>
            <w:r w:rsidRPr="00716A68">
              <w:t xml:space="preserve"> Partner</w:t>
            </w:r>
          </w:p>
        </w:tc>
        <w:tc>
          <w:tcPr>
            <w:tcW w:w="3935"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As above, however the agency has also outsourced the ICT provision</w:t>
            </w:r>
          </w:p>
        </w:tc>
        <w:tc>
          <w:tcPr>
            <w:tcW w:w="3026" w:type="dxa"/>
            <w:vMerge/>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6</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Customer </w:t>
            </w:r>
            <w:r w:rsidRPr="00716A68">
              <w:sym w:font="Wingdings" w:char="F0E0"/>
            </w:r>
            <w:r w:rsidRPr="00716A68">
              <w:t xml:space="preserve"> whole-of-government</w:t>
            </w:r>
          </w:p>
        </w:tc>
        <w:tc>
          <w:tcPr>
            <w:tcW w:w="3935" w:type="dxa"/>
          </w:tcPr>
          <w:p w:rsidR="000C416E" w:rsidRPr="00716A68" w:rsidRDefault="000C416E" w:rsidP="000C416E">
            <w:pPr>
              <w:pStyle w:val="tablebullet"/>
              <w:cnfStyle w:val="000000000000" w:firstRow="0" w:lastRow="0" w:firstColumn="0" w:lastColumn="0" w:oddVBand="0" w:evenVBand="0" w:oddHBand="0" w:evenHBand="0" w:firstRowFirstColumn="0" w:firstRowLastColumn="0" w:lastRowFirstColumn="0" w:lastRowLastColumn="0"/>
            </w:pPr>
            <w:r w:rsidRPr="00716A68">
              <w:t>Customers accessing online services provided e.g. One Stop-Shop MyAccount and Payments Portals</w:t>
            </w:r>
          </w:p>
        </w:tc>
        <w:tc>
          <w:tcPr>
            <w:tcW w:w="3026" w:type="dxa"/>
            <w:vMerge/>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7</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whole-of-government </w:t>
            </w:r>
            <w:r w:rsidRPr="00716A68">
              <w:sym w:font="Wingdings" w:char="F0E0"/>
            </w:r>
            <w:r w:rsidRPr="00716A68">
              <w:t xml:space="preserve"> Customer</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Government-as-an-Identity Provider to support API access for:</w:t>
            </w:r>
          </w:p>
          <w:p w:rsidR="000C416E" w:rsidRPr="00716A68" w:rsidRDefault="000C416E" w:rsidP="00D5498C">
            <w:pPr>
              <w:pStyle w:val="tablebullet2"/>
              <w:cnfStyle w:val="000000000000" w:firstRow="0" w:lastRow="0" w:firstColumn="0" w:lastColumn="0" w:oddVBand="0" w:evenVBand="0" w:oddHBand="0" w:evenHBand="0" w:firstRowFirstColumn="0" w:firstRowLastColumn="0" w:lastRowFirstColumn="0" w:lastRowLastColumn="0"/>
            </w:pPr>
            <w:r w:rsidRPr="00716A68">
              <w:t>‘Citizen Developers’ building mobile apps and orchestrations across government services</w:t>
            </w:r>
          </w:p>
          <w:p w:rsidR="000C416E" w:rsidRPr="00716A68" w:rsidRDefault="000C416E" w:rsidP="00D5498C">
            <w:pPr>
              <w:pStyle w:val="tablebullet2"/>
              <w:cnfStyle w:val="000000000000" w:firstRow="0" w:lastRow="0" w:firstColumn="0" w:lastColumn="0" w:oddVBand="0" w:evenVBand="0" w:oddHBand="0" w:evenHBand="0" w:firstRowFirstColumn="0" w:firstRowLastColumn="0" w:lastRowFirstColumn="0" w:lastRowLastColumn="0"/>
            </w:pPr>
            <w:r w:rsidRPr="00716A68">
              <w:lastRenderedPageBreak/>
              <w:t>Partners developing customer applications</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Registered access to Open Data sets to increase online/query capabilities</w:t>
            </w:r>
          </w:p>
        </w:tc>
        <w:tc>
          <w:tcPr>
            <w:tcW w:w="3026"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lastRenderedPageBreak/>
              <w:t>Consumer identity standards support</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Consumer platform support</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Developer portal registration</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API Key authentication</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lastRenderedPageBreak/>
              <w:t>Delegated access to agency API’s</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lastRenderedPageBreak/>
              <w:t>8</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Agency </w:t>
            </w:r>
            <w:r w:rsidRPr="00716A68">
              <w:sym w:font="Wingdings" w:char="F0E0"/>
            </w:r>
            <w:r w:rsidRPr="00716A68">
              <w:t xml:space="preserve"> whole-of-government</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Agency staff accessing a shared whole-of-government service e.g. the Gov2Gov intranet or the whole-of-government Room Booking system</w:t>
            </w:r>
          </w:p>
        </w:tc>
        <w:tc>
          <w:tcPr>
            <w:tcW w:w="3026" w:type="dxa"/>
            <w:vMerge w:val="restart"/>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Sharing a single application instance typically requires a single identity source</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Leveraging existing agency identities to avoid re-registration</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Leveraging existing agency credentials to avoid yet-another-password</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Providing a Single Sign-on (SSO) experience as if remote application was part of the agency environment.</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Identity assurance and trust</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9</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Whole-of-government </w:t>
            </w:r>
            <w:r w:rsidRPr="00716A68">
              <w:sym w:font="Wingdings" w:char="F0E0"/>
            </w:r>
            <w:r w:rsidRPr="00716A68">
              <w:t xml:space="preserve"> Partner</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As above, however the ICT provision has also been outsourced</w:t>
            </w:r>
          </w:p>
        </w:tc>
        <w:tc>
          <w:tcPr>
            <w:tcW w:w="3026" w:type="dxa"/>
            <w:vMerge/>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10</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Agency </w:t>
            </w:r>
            <w:r w:rsidRPr="00716A68">
              <w:sym w:font="Wingdings" w:char="F0E0"/>
            </w:r>
            <w:r w:rsidRPr="00716A68">
              <w:t xml:space="preserve"> Agency</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Cross-agency access to a shared ICT System:</w:t>
            </w:r>
          </w:p>
          <w:p w:rsidR="000C416E" w:rsidRPr="00716A68" w:rsidRDefault="000C416E" w:rsidP="00D5498C">
            <w:pPr>
              <w:pStyle w:val="tablebullet2"/>
              <w:cnfStyle w:val="000000000000" w:firstRow="0" w:lastRow="0" w:firstColumn="0" w:lastColumn="0" w:oddVBand="0" w:evenVBand="0" w:oddHBand="0" w:evenHBand="0" w:firstRowFirstColumn="0" w:firstRowLastColumn="0" w:lastRowFirstColumn="0" w:lastRowLastColumn="0"/>
            </w:pPr>
            <w:r w:rsidRPr="00716A68">
              <w:t xml:space="preserve">Agency A accessing Agency B </w:t>
            </w:r>
          </w:p>
          <w:p w:rsidR="000C416E" w:rsidRPr="00716A68" w:rsidRDefault="000C416E" w:rsidP="00D5498C">
            <w:pPr>
              <w:pStyle w:val="tablebullet2"/>
              <w:cnfStyle w:val="000000000000" w:firstRow="0" w:lastRow="0" w:firstColumn="0" w:lastColumn="0" w:oddVBand="0" w:evenVBand="0" w:oddHBand="0" w:evenHBand="0" w:firstRowFirstColumn="0" w:firstRowLastColumn="0" w:lastRowFirstColumn="0" w:lastRowLastColumn="0"/>
            </w:pPr>
            <w:r w:rsidRPr="00716A68">
              <w:t>A shared service provider for a cluster of agencies</w:t>
            </w:r>
          </w:p>
        </w:tc>
        <w:tc>
          <w:tcPr>
            <w:tcW w:w="3026"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Identity assurance and trust between agencies</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11</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Agency external access</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Agency staff remotely accessing agency ICT services</w:t>
            </w:r>
          </w:p>
        </w:tc>
        <w:tc>
          <w:tcPr>
            <w:tcW w:w="3026"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Secure publishing of legacy applications</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Strong and adaptive authentication</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12</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Other Jurisdiction </w:t>
            </w:r>
            <w:r w:rsidRPr="00716A68">
              <w:sym w:font="Wingdings" w:char="F0E0"/>
            </w:r>
            <w:r w:rsidRPr="00716A68">
              <w:t xml:space="preserve"> Agency</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 xml:space="preserve">Customers identified by another jurisdiction </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 xml:space="preserve">Business Identified </w:t>
            </w:r>
          </w:p>
        </w:tc>
        <w:tc>
          <w:tcPr>
            <w:tcW w:w="3026" w:type="dxa"/>
            <w:vMerge w:val="restart"/>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Many to many federation topologies</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Mutual trust and recognition of identities</w:t>
            </w:r>
          </w:p>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Single sign-on</w:t>
            </w:r>
          </w:p>
        </w:tc>
      </w:tr>
      <w:tr w:rsidR="000C416E" w:rsidRPr="00716A68"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83" w:type="dxa"/>
          </w:tcPr>
          <w:p w:rsidR="000C416E" w:rsidRPr="00716A68" w:rsidRDefault="000C416E" w:rsidP="000C416E">
            <w:pPr>
              <w:ind w:left="0"/>
            </w:pPr>
            <w:r w:rsidRPr="00716A68">
              <w:t>13</w:t>
            </w:r>
          </w:p>
        </w:tc>
        <w:tc>
          <w:tcPr>
            <w:tcW w:w="1628" w:type="dxa"/>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r w:rsidRPr="00716A68">
              <w:t xml:space="preserve">Customer </w:t>
            </w:r>
            <w:r w:rsidRPr="00716A68">
              <w:sym w:font="Wingdings" w:char="F0E0"/>
            </w:r>
            <w:r w:rsidRPr="00716A68">
              <w:t xml:space="preserve"> Other Jurisdiction </w:t>
            </w:r>
          </w:p>
        </w:tc>
        <w:tc>
          <w:tcPr>
            <w:tcW w:w="3935" w:type="dxa"/>
          </w:tcPr>
          <w:p w:rsidR="000C416E" w:rsidRPr="00716A68" w:rsidRDefault="000C416E" w:rsidP="00274284">
            <w:pPr>
              <w:pStyle w:val="tablebullet"/>
              <w:cnfStyle w:val="000000000000" w:firstRow="0" w:lastRow="0" w:firstColumn="0" w:lastColumn="0" w:oddVBand="0" w:evenVBand="0" w:oddHBand="0" w:evenHBand="0" w:firstRowFirstColumn="0" w:firstRowLastColumn="0" w:lastRowFirstColumn="0" w:lastRowLastColumn="0"/>
            </w:pPr>
            <w:r w:rsidRPr="00716A68">
              <w:t>Customers identified via a Queensland Government entity using a digital identity</w:t>
            </w:r>
          </w:p>
        </w:tc>
        <w:tc>
          <w:tcPr>
            <w:tcW w:w="3026" w:type="dxa"/>
            <w:vMerge/>
          </w:tcPr>
          <w:p w:rsidR="000C416E" w:rsidRPr="00716A68" w:rsidRDefault="000C416E" w:rsidP="000C416E">
            <w:pPr>
              <w:ind w:left="0"/>
              <w:cnfStyle w:val="000000000000" w:firstRow="0" w:lastRow="0" w:firstColumn="0" w:lastColumn="0" w:oddVBand="0" w:evenVBand="0" w:oddHBand="0" w:evenHBand="0" w:firstRowFirstColumn="0" w:firstRowLastColumn="0" w:lastRowFirstColumn="0" w:lastRowLastColumn="0"/>
            </w:pPr>
          </w:p>
        </w:tc>
      </w:tr>
    </w:tbl>
    <w:p w:rsidR="00285476" w:rsidRDefault="00BA745F" w:rsidP="00BA745F">
      <w:pPr>
        <w:pStyle w:val="Heading2"/>
      </w:pPr>
      <w:bookmarkStart w:id="18" w:name="_Toc483475314"/>
      <w:bookmarkStart w:id="19" w:name="_Toc484085292"/>
      <w:r w:rsidRPr="00896DDD">
        <w:t>Federated delegated authori</w:t>
      </w:r>
      <w:r>
        <w:t>s</w:t>
      </w:r>
      <w:r w:rsidRPr="00896DDD">
        <w:t>ation</w:t>
      </w:r>
      <w:bookmarkEnd w:id="18"/>
      <w:bookmarkEnd w:id="19"/>
    </w:p>
    <w:p w:rsidR="00BA745F" w:rsidRDefault="00BA745F" w:rsidP="00BA745F">
      <w:r w:rsidRPr="000E2D96">
        <w:t xml:space="preserve">These use cases focus on a resource owner delegating/authorising an intermediately to act on their behalf. </w:t>
      </w:r>
    </w:p>
    <w:p w:rsidR="00BA745F" w:rsidRPr="000E2D96" w:rsidRDefault="00BA745F" w:rsidP="00BA745F">
      <w:pPr>
        <w:pStyle w:val="Blankline"/>
      </w:pPr>
    </w:p>
    <w:tbl>
      <w:tblPr>
        <w:tblStyle w:val="Table-LowInk"/>
        <w:tblW w:w="9072" w:type="dxa"/>
        <w:tblInd w:w="562" w:type="dxa"/>
        <w:tblLook w:val="04A0" w:firstRow="1" w:lastRow="0" w:firstColumn="1" w:lastColumn="0" w:noHBand="0" w:noVBand="1"/>
      </w:tblPr>
      <w:tblGrid>
        <w:gridCol w:w="567"/>
        <w:gridCol w:w="5103"/>
        <w:gridCol w:w="3402"/>
      </w:tblGrid>
      <w:tr w:rsidR="00BA745F" w:rsidRPr="000E2D96" w:rsidTr="00BA74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rsidR="00BA745F" w:rsidRPr="00BA745F" w:rsidRDefault="00BA745F" w:rsidP="00BA745F">
            <w:pPr>
              <w:ind w:left="0"/>
              <w:rPr>
                <w:sz w:val="20"/>
              </w:rPr>
            </w:pPr>
            <w:r w:rsidRPr="00BA745F">
              <w:rPr>
                <w:sz w:val="20"/>
              </w:rPr>
              <w:lastRenderedPageBreak/>
              <w:t>#</w:t>
            </w:r>
          </w:p>
        </w:tc>
        <w:tc>
          <w:tcPr>
            <w:tcW w:w="5103" w:type="dxa"/>
          </w:tcPr>
          <w:p w:rsidR="00BA745F" w:rsidRPr="00BA745F" w:rsidRDefault="00BA745F" w:rsidP="00BA745F">
            <w:pPr>
              <w:ind w:left="23"/>
              <w:cnfStyle w:val="100000000000" w:firstRow="1" w:lastRow="0" w:firstColumn="0" w:lastColumn="0" w:oddVBand="0" w:evenVBand="0" w:oddHBand="0" w:evenHBand="0" w:firstRowFirstColumn="0" w:firstRowLastColumn="0" w:lastRowFirstColumn="0" w:lastRowLastColumn="0"/>
              <w:rPr>
                <w:sz w:val="20"/>
              </w:rPr>
            </w:pPr>
            <w:r w:rsidRPr="00BA745F">
              <w:rPr>
                <w:sz w:val="20"/>
              </w:rPr>
              <w:t>Description/examples</w:t>
            </w:r>
          </w:p>
        </w:tc>
        <w:tc>
          <w:tcPr>
            <w:tcW w:w="3402" w:type="dxa"/>
          </w:tcPr>
          <w:p w:rsidR="00BA745F" w:rsidRPr="00BA745F" w:rsidRDefault="00BA745F" w:rsidP="00BA745F">
            <w:pPr>
              <w:ind w:left="0"/>
              <w:cnfStyle w:val="100000000000" w:firstRow="1" w:lastRow="0" w:firstColumn="0" w:lastColumn="0" w:oddVBand="0" w:evenVBand="0" w:oddHBand="0" w:evenHBand="0" w:firstRowFirstColumn="0" w:firstRowLastColumn="0" w:lastRowFirstColumn="0" w:lastRowLastColumn="0"/>
              <w:rPr>
                <w:sz w:val="20"/>
              </w:rPr>
            </w:pPr>
            <w:r w:rsidRPr="00BA745F">
              <w:rPr>
                <w:sz w:val="20"/>
              </w:rPr>
              <w:t>Challenges/considerations</w:t>
            </w:r>
          </w:p>
        </w:tc>
      </w:tr>
      <w:tr w:rsidR="00BA745F" w:rsidRPr="000E2D96"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BA745F" w:rsidRPr="00BA745F" w:rsidRDefault="00BA745F" w:rsidP="00BA745F">
            <w:pPr>
              <w:ind w:left="0"/>
              <w:rPr>
                <w:sz w:val="20"/>
              </w:rPr>
            </w:pPr>
            <w:r w:rsidRPr="00BA745F">
              <w:rPr>
                <w:sz w:val="20"/>
              </w:rPr>
              <w:t>14</w:t>
            </w:r>
          </w:p>
        </w:tc>
        <w:tc>
          <w:tcPr>
            <w:tcW w:w="5103" w:type="dxa"/>
          </w:tcPr>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An individual owner of a resource delegating access (or providing consent) to a third party/application client the individual uses. Delegation is typically time-based.</w:t>
            </w:r>
          </w:p>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Examples: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 xml:space="preserve">A user granting a consumer mobile application access to their government record/information e.g. </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 Queensland citizen via an online website chat can delegate access to a customer service agent to perform a specific function for the next 30mins on their behalf against a backend agency franchise system.</w:t>
            </w:r>
          </w:p>
        </w:tc>
        <w:tc>
          <w:tcPr>
            <w:tcW w:w="3402" w:type="dxa"/>
          </w:tcPr>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API enablement</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Granularity of the authorization model permissions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Access revocation</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Resource owner consent</w:t>
            </w:r>
          </w:p>
        </w:tc>
      </w:tr>
      <w:tr w:rsidR="00BA745F" w:rsidRPr="000E2D96"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BA745F" w:rsidRPr="00BA745F" w:rsidRDefault="00BA745F" w:rsidP="00BA745F">
            <w:pPr>
              <w:ind w:left="0"/>
              <w:rPr>
                <w:sz w:val="20"/>
              </w:rPr>
            </w:pPr>
            <w:r w:rsidRPr="00BA745F">
              <w:rPr>
                <w:sz w:val="20"/>
              </w:rPr>
              <w:t>15</w:t>
            </w:r>
          </w:p>
        </w:tc>
        <w:tc>
          <w:tcPr>
            <w:tcW w:w="5103" w:type="dxa"/>
          </w:tcPr>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An individual establishes digital delegations within a central portal to grant third party entities (individuals or organisations) access to individual resources (which may be provided other multiple entities)</w:t>
            </w:r>
          </w:p>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Examples: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 Queensland citizen within their MyAccount portal centrally manages which agencies have access to their personal information and records (which may be held by another agency)</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 patient can provide consent and authorization for their health record (or a subject) to be access via one or more clinicians or healthcare providers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 job seeker shares their Record of Achievement with a potential employer</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Parents delegating after school pick up for their children</w:t>
            </w:r>
          </w:p>
        </w:tc>
        <w:tc>
          <w:tcPr>
            <w:tcW w:w="3402" w:type="dxa"/>
          </w:tcPr>
          <w:p w:rsidR="00BA745F" w:rsidRPr="00BA745F" w:rsidRDefault="00BA745F" w:rsidP="00BA745F">
            <w:pPr>
              <w:ind w:left="0"/>
              <w:cnfStyle w:val="000000000000" w:firstRow="0" w:lastRow="0" w:firstColumn="0" w:lastColumn="0" w:oddVBand="0" w:evenVBand="0" w:oddHBand="0" w:evenHBand="0" w:firstRowFirstColumn="0" w:firstRowLastColumn="0" w:lastRowFirstColumn="0" w:lastRowLastColumn="0"/>
              <w:rPr>
                <w:sz w:val="20"/>
              </w:rPr>
            </w:pPr>
            <w:r w:rsidRPr="00BA745F">
              <w:rPr>
                <w:sz w:val="20"/>
              </w:rPr>
              <w:t>The following consideration are based upon findings from a New Zealand Government Authorisation Proof of Concept</w:t>
            </w:r>
            <w:r w:rsidRPr="00BA745F">
              <w:rPr>
                <w:sz w:val="20"/>
              </w:rPr>
              <w:endnoteReference w:id="8"/>
            </w:r>
            <w:r w:rsidRPr="00BA745F">
              <w:rPr>
                <w:sz w:val="20"/>
              </w:rPr>
              <w:t>:</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Authenticating the requesting party (delegate).</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User choice of a central authorisation service to manage access to their online resources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Understanding relationships between entities (e.g. an employee works for a company, Mary is the mother of Charles)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Managing Delegations - allowing a user to view and manage the delegations they made</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Establishing delegation across channels digital/non-digital, including smart things and devices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Multiple or shared delegators (resource owners) who have equal rights e.g. both parents can setup and manage delegations for their child</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Re-Delegation or Chaining - can delegations be re-delegated? If so, under what conditions? e.g. Grandmas has been delegated access by Mum. Grandma has shared her access with Grandad.</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lastRenderedPageBreak/>
              <w:t>Inferred Delegations based upon relationships. If inferred, what transparency is required for the resource owner?</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Transferring ownership for a delegation that may be have been initiated by the RO</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Revoking Delegations due to time based expiry, role changes, subject age/maturity, external events, disputes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Delegation authority - must a delegation be accepted by a delegate? To what extent is the delegator responsible for the delegate’s actions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Temporary/emergency access without consent</w:t>
            </w:r>
          </w:p>
        </w:tc>
      </w:tr>
      <w:tr w:rsidR="00BA745F" w:rsidRPr="000E2D96"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BA745F" w:rsidRPr="00BA745F" w:rsidRDefault="00BA745F" w:rsidP="00BA745F">
            <w:pPr>
              <w:ind w:left="0"/>
              <w:rPr>
                <w:sz w:val="20"/>
              </w:rPr>
            </w:pPr>
            <w:r w:rsidRPr="00BA745F">
              <w:rPr>
                <w:sz w:val="20"/>
              </w:rPr>
              <w:lastRenderedPageBreak/>
              <w:t>16</w:t>
            </w:r>
          </w:p>
        </w:tc>
        <w:tc>
          <w:tcPr>
            <w:tcW w:w="5103" w:type="dxa"/>
          </w:tcPr>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A user authenticates to any agency service. The Agency needs to act on behalf of the authenticated user to transact with another agency</w:t>
            </w:r>
          </w:p>
        </w:tc>
        <w:tc>
          <w:tcPr>
            <w:tcW w:w="3402" w:type="dxa"/>
          </w:tcPr>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Resource/application support for API Security</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Communicating delegation context (rather than impersonation)</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Auditing</w:t>
            </w:r>
          </w:p>
        </w:tc>
      </w:tr>
      <w:tr w:rsidR="00BA745F" w:rsidRPr="000E2D96" w:rsidTr="00BA745F">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BA745F" w:rsidRPr="00BA745F" w:rsidRDefault="00BA745F" w:rsidP="00BA745F">
            <w:pPr>
              <w:ind w:left="0"/>
              <w:rPr>
                <w:sz w:val="20"/>
              </w:rPr>
            </w:pPr>
            <w:r w:rsidRPr="00BA745F">
              <w:rPr>
                <w:sz w:val="20"/>
              </w:rPr>
              <w:t>17</w:t>
            </w:r>
          </w:p>
        </w:tc>
        <w:tc>
          <w:tcPr>
            <w:tcW w:w="5103" w:type="dxa"/>
          </w:tcPr>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A lead agency is delegated central management of authorisation/access control policies for a group resources/information sets owned by various agencies. A central access policy controls resource access and provides a fine-grained authorization model. A change to access policy immediately applies to all resources.</w:t>
            </w:r>
          </w:p>
          <w:p w:rsidR="00BA745F" w:rsidRPr="00BA745F" w:rsidRDefault="00BA745F" w:rsidP="00BA745F">
            <w:pPr>
              <w:ind w:left="23"/>
              <w:cnfStyle w:val="000000000000" w:firstRow="0" w:lastRow="0" w:firstColumn="0" w:lastColumn="0" w:oddVBand="0" w:evenVBand="0" w:oddHBand="0" w:evenHBand="0" w:firstRowFirstColumn="0" w:firstRowLastColumn="0" w:lastRowFirstColumn="0" w:lastRowLastColumn="0"/>
              <w:rPr>
                <w:sz w:val="20"/>
              </w:rPr>
            </w:pPr>
            <w:r w:rsidRPr="00BA745F">
              <w:rPr>
                <w:sz w:val="20"/>
              </w:rPr>
              <w:t>Example:</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Sharing information between agencies who need to collaborate in the event of a natural disaster. In this situation, people will often assume alternate roles and access permissions need to be changed rapidly across organization boundaries. Access policies must be rules based as there is no way to pre-identify all individual users - for example ‘allow access to user if user is from organization X, has attributes Y and Z and the current environment status is Amber’.</w:t>
            </w:r>
          </w:p>
        </w:tc>
        <w:tc>
          <w:tcPr>
            <w:tcW w:w="3402" w:type="dxa"/>
          </w:tcPr>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Resource/application support for fine-grained attribute based access control (ABAC) and external/centralised authorization models.</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 xml:space="preserve">Well defined and prescriptive access policy/rules </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Attribute sources and data quality</w:t>
            </w:r>
          </w:p>
          <w:p w:rsidR="00BA745F" w:rsidRPr="00BA745F" w:rsidRDefault="00BA745F" w:rsidP="00BA745F">
            <w:pPr>
              <w:pStyle w:val="tablebullet"/>
              <w:cnfStyle w:val="000000000000" w:firstRow="0" w:lastRow="0" w:firstColumn="0" w:lastColumn="0" w:oddVBand="0" w:evenVBand="0" w:oddHBand="0" w:evenHBand="0" w:firstRowFirstColumn="0" w:firstRowLastColumn="0" w:lastRowFirstColumn="0" w:lastRowLastColumn="0"/>
            </w:pPr>
            <w:r w:rsidRPr="00BA745F">
              <w:t xml:space="preserve">Governance </w:t>
            </w:r>
          </w:p>
        </w:tc>
      </w:tr>
    </w:tbl>
    <w:p w:rsidR="00BA745F" w:rsidRDefault="004A2BBE" w:rsidP="004A2BBE">
      <w:pPr>
        <w:pStyle w:val="Heading2"/>
      </w:pPr>
      <w:bookmarkStart w:id="20" w:name="_Toc483475315"/>
      <w:bookmarkStart w:id="21" w:name="_Toc484085293"/>
      <w:r w:rsidRPr="00942CAC">
        <w:t>Federated attribute exchange</w:t>
      </w:r>
      <w:bookmarkEnd w:id="20"/>
      <w:bookmarkEnd w:id="21"/>
    </w:p>
    <w:p w:rsidR="004A2BBE" w:rsidRPr="000E2D96" w:rsidRDefault="004A2BBE" w:rsidP="004A2BBE">
      <w:r w:rsidRPr="000E2D96">
        <w:t>These use cases focus on sharing and/or validation of identity attribute information from between parties from authoritative sources typically residing in another domain.</w:t>
      </w:r>
    </w:p>
    <w:p w:rsidR="004A2BBE" w:rsidRPr="000E2D96" w:rsidRDefault="004A2BBE" w:rsidP="004A2BBE"/>
    <w:tbl>
      <w:tblPr>
        <w:tblStyle w:val="Table-LowInk"/>
        <w:tblW w:w="9072" w:type="dxa"/>
        <w:tblInd w:w="562" w:type="dxa"/>
        <w:tblLook w:val="04A0" w:firstRow="1" w:lastRow="0" w:firstColumn="1" w:lastColumn="0" w:noHBand="0" w:noVBand="1"/>
      </w:tblPr>
      <w:tblGrid>
        <w:gridCol w:w="567"/>
        <w:gridCol w:w="5103"/>
        <w:gridCol w:w="3402"/>
      </w:tblGrid>
      <w:tr w:rsidR="004A2BBE" w:rsidRPr="004A2BBE" w:rsidTr="004A2B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rsidR="004A2BBE" w:rsidRPr="004A2BBE" w:rsidRDefault="004A2BBE" w:rsidP="004A2BBE">
            <w:pPr>
              <w:ind w:left="0"/>
              <w:rPr>
                <w:sz w:val="20"/>
              </w:rPr>
            </w:pPr>
            <w:r w:rsidRPr="004A2BBE">
              <w:rPr>
                <w:sz w:val="20"/>
              </w:rPr>
              <w:t>#</w:t>
            </w:r>
          </w:p>
        </w:tc>
        <w:tc>
          <w:tcPr>
            <w:tcW w:w="5103" w:type="dxa"/>
          </w:tcPr>
          <w:p w:rsidR="004A2BBE" w:rsidRPr="004A2BBE" w:rsidRDefault="004A2BBE" w:rsidP="004A2BBE">
            <w:pPr>
              <w:ind w:left="0"/>
              <w:cnfStyle w:val="100000000000" w:firstRow="1" w:lastRow="0" w:firstColumn="0" w:lastColumn="0" w:oddVBand="0" w:evenVBand="0" w:oddHBand="0" w:evenHBand="0" w:firstRowFirstColumn="0" w:firstRowLastColumn="0" w:lastRowFirstColumn="0" w:lastRowLastColumn="0"/>
              <w:rPr>
                <w:sz w:val="20"/>
              </w:rPr>
            </w:pPr>
            <w:r w:rsidRPr="004A2BBE">
              <w:rPr>
                <w:sz w:val="20"/>
              </w:rPr>
              <w:t>Description/examples</w:t>
            </w:r>
          </w:p>
        </w:tc>
        <w:tc>
          <w:tcPr>
            <w:tcW w:w="3402" w:type="dxa"/>
          </w:tcPr>
          <w:p w:rsidR="004A2BBE" w:rsidRPr="004A2BBE" w:rsidRDefault="004A2BBE" w:rsidP="004A2BBE">
            <w:pPr>
              <w:ind w:left="19"/>
              <w:cnfStyle w:val="100000000000" w:firstRow="1" w:lastRow="0" w:firstColumn="0" w:lastColumn="0" w:oddVBand="0" w:evenVBand="0" w:oddHBand="0" w:evenHBand="0" w:firstRowFirstColumn="0" w:firstRowLastColumn="0" w:lastRowFirstColumn="0" w:lastRowLastColumn="0"/>
              <w:rPr>
                <w:sz w:val="20"/>
              </w:rPr>
            </w:pPr>
            <w:r w:rsidRPr="004A2BBE">
              <w:rPr>
                <w:sz w:val="20"/>
              </w:rPr>
              <w:t>Challenges/considerations</w:t>
            </w:r>
          </w:p>
        </w:tc>
      </w:tr>
      <w:tr w:rsidR="004A2BBE" w:rsidRPr="004A2BBE" w:rsidTr="004A2BBE">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4A2BBE" w:rsidRPr="004A2BBE" w:rsidRDefault="004A2BBE" w:rsidP="004A2BBE">
            <w:pPr>
              <w:ind w:left="0"/>
              <w:rPr>
                <w:sz w:val="20"/>
              </w:rPr>
            </w:pPr>
            <w:r w:rsidRPr="004A2BBE">
              <w:rPr>
                <w:sz w:val="20"/>
              </w:rPr>
              <w:t>18</w:t>
            </w:r>
          </w:p>
        </w:tc>
        <w:tc>
          <w:tcPr>
            <w:tcW w:w="5103"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An entity retrieves a verified attribute bundle for a given subject from another entity as the authoritative source based upon a shared unique identifier</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Attributes may be sourced from one or more authoritative sources</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Attributes may be sourced to support subsequent access control decisions or identity provisioning requirements</w:t>
            </w:r>
          </w:p>
          <w:p w:rsidR="004A2BBE" w:rsidRPr="004A2BBE" w:rsidRDefault="004A2BBE" w:rsidP="004A2BBE">
            <w:pPr>
              <w:ind w:left="0"/>
              <w:cnfStyle w:val="000000000000" w:firstRow="0" w:lastRow="0" w:firstColumn="0" w:lastColumn="0" w:oddVBand="0" w:evenVBand="0" w:oddHBand="0" w:evenHBand="0" w:firstRowFirstColumn="0" w:firstRowLastColumn="0" w:lastRowFirstColumn="0" w:lastRowLastColumn="0"/>
              <w:rPr>
                <w:sz w:val="20"/>
              </w:rPr>
            </w:pPr>
            <w:r w:rsidRPr="004A2BBE">
              <w:rPr>
                <w:sz w:val="20"/>
              </w:rPr>
              <w:t>Examples:</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IJIS and Single Person Identifier (SPI)</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 xml:space="preserve">JAG High Risk Work Licensing utilizing TMR’s Digital Image Bank </w:t>
            </w:r>
          </w:p>
        </w:tc>
        <w:tc>
          <w:tcPr>
            <w:tcW w:w="3402"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Authorities sources are typically another organisation and outside the RP domain</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Multiple authoritative sources for different attributes</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 xml:space="preserve">Agreed and unique identifiers to resolve a specific identity across domains </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Information quality</w:t>
            </w:r>
          </w:p>
        </w:tc>
      </w:tr>
      <w:tr w:rsidR="004A2BBE" w:rsidRPr="004A2BBE" w:rsidTr="004A2BBE">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4A2BBE" w:rsidRPr="004A2BBE" w:rsidRDefault="004A2BBE" w:rsidP="004A2BBE">
            <w:pPr>
              <w:ind w:left="0"/>
              <w:rPr>
                <w:sz w:val="20"/>
              </w:rPr>
            </w:pPr>
            <w:r w:rsidRPr="004A2BBE">
              <w:rPr>
                <w:sz w:val="20"/>
              </w:rPr>
              <w:t>19</w:t>
            </w:r>
          </w:p>
        </w:tc>
        <w:tc>
          <w:tcPr>
            <w:tcW w:w="5103"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An entity retrieves a verified attribute bundle for a given subject from another entity as the authoritative source based upon presented identity attributes</w:t>
            </w:r>
          </w:p>
          <w:p w:rsidR="004A2BBE" w:rsidRPr="004A2BBE" w:rsidRDefault="004A2BBE" w:rsidP="004A2BBE">
            <w:pPr>
              <w:ind w:left="0"/>
              <w:cnfStyle w:val="000000000000" w:firstRow="0" w:lastRow="0" w:firstColumn="0" w:lastColumn="0" w:oddVBand="0" w:evenVBand="0" w:oddHBand="0" w:evenHBand="0" w:firstRowFirstColumn="0" w:firstRowLastColumn="0" w:lastRowFirstColumn="0" w:lastRowLastColumn="0"/>
              <w:rPr>
                <w:sz w:val="20"/>
              </w:rPr>
            </w:pPr>
            <w:r w:rsidRPr="004A2BBE">
              <w:rPr>
                <w:sz w:val="20"/>
              </w:rPr>
              <w:t>Examples:</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Sharing client identity information between DET, Communities and QPS</w:t>
            </w:r>
          </w:p>
        </w:tc>
        <w:tc>
          <w:tcPr>
            <w:tcW w:w="3402"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Similar to the above</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Privacy and data minimization</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Multiple matches - identity resolution and attribute matching complexities to resolve to a specific identity based upon name abbreviations, capitalisation, and character transposition etc.</w:t>
            </w:r>
          </w:p>
        </w:tc>
      </w:tr>
      <w:tr w:rsidR="004A2BBE" w:rsidRPr="004A2BBE" w:rsidTr="004A2BBE">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4A2BBE" w:rsidRPr="004A2BBE" w:rsidRDefault="004A2BBE" w:rsidP="004A2BBE">
            <w:pPr>
              <w:ind w:left="0"/>
              <w:rPr>
                <w:sz w:val="20"/>
              </w:rPr>
            </w:pPr>
            <w:r w:rsidRPr="004A2BBE">
              <w:rPr>
                <w:sz w:val="20"/>
              </w:rPr>
              <w:t>20</w:t>
            </w:r>
          </w:p>
        </w:tc>
        <w:tc>
          <w:tcPr>
            <w:tcW w:w="5103"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An entity needs to determine if an individual has a specific entitlement e.g. can subject X drive Y type of vehicle in Queensland? To minimize data and increase privacy, a specific policy or question is asked along with the subject’s identifier or attribute bundle.</w:t>
            </w:r>
          </w:p>
        </w:tc>
        <w:tc>
          <w:tcPr>
            <w:tcW w:w="3402"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Similar to the above use cases</w:t>
            </w:r>
          </w:p>
        </w:tc>
      </w:tr>
      <w:tr w:rsidR="004A2BBE" w:rsidRPr="004A2BBE" w:rsidTr="004A2BBE">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567" w:type="dxa"/>
          </w:tcPr>
          <w:p w:rsidR="004A2BBE" w:rsidRPr="004A2BBE" w:rsidRDefault="004A2BBE" w:rsidP="004A2BBE">
            <w:pPr>
              <w:ind w:left="0"/>
              <w:rPr>
                <w:sz w:val="20"/>
              </w:rPr>
            </w:pPr>
            <w:r w:rsidRPr="004A2BBE">
              <w:rPr>
                <w:sz w:val="20"/>
              </w:rPr>
              <w:t>21</w:t>
            </w:r>
          </w:p>
        </w:tc>
        <w:tc>
          <w:tcPr>
            <w:tcW w:w="5103"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An entity requires a current (synchronised) index of identities from an identity provider or authoritative source. For example, identity pre-provisioning to a cloud service.</w:t>
            </w:r>
          </w:p>
          <w:p w:rsidR="004A2BBE" w:rsidRPr="004A2BBE" w:rsidRDefault="004A2BBE" w:rsidP="004A2BBE">
            <w:pPr>
              <w:ind w:left="0"/>
              <w:cnfStyle w:val="000000000000" w:firstRow="0" w:lastRow="0" w:firstColumn="0" w:lastColumn="0" w:oddVBand="0" w:evenVBand="0" w:oddHBand="0" w:evenHBand="0" w:firstRowFirstColumn="0" w:firstRowLastColumn="0" w:lastRowFirstColumn="0" w:lastRowLastColumn="0"/>
              <w:rPr>
                <w:sz w:val="20"/>
              </w:rPr>
            </w:pPr>
            <w:r w:rsidRPr="004A2BBE">
              <w:rPr>
                <w:sz w:val="20"/>
              </w:rPr>
              <w:t>Examples:</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Persons directory for staff contact details</w:t>
            </w:r>
          </w:p>
        </w:tc>
        <w:tc>
          <w:tcPr>
            <w:tcW w:w="3402" w:type="dxa"/>
          </w:tcPr>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Synchronisation across domains pull vs push models</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lack of adoption of industry standards for cross-domain identity provisioning</w:t>
            </w:r>
          </w:p>
          <w:p w:rsidR="004A2BBE" w:rsidRPr="004A2BBE" w:rsidRDefault="004A2BBE" w:rsidP="004A2BBE">
            <w:pPr>
              <w:pStyle w:val="tablebullet"/>
              <w:cnfStyle w:val="000000000000" w:firstRow="0" w:lastRow="0" w:firstColumn="0" w:lastColumn="0" w:oddVBand="0" w:evenVBand="0" w:oddHBand="0" w:evenHBand="0" w:firstRowFirstColumn="0" w:firstRowLastColumn="0" w:lastRowFirstColumn="0" w:lastRowLastColumn="0"/>
            </w:pPr>
            <w:r w:rsidRPr="004A2BBE">
              <w:t>Rich attribute formats including biometric templates</w:t>
            </w:r>
          </w:p>
        </w:tc>
      </w:tr>
    </w:tbl>
    <w:p w:rsidR="004A2BBE" w:rsidRDefault="004A2BBE" w:rsidP="004A2BBE">
      <w:pPr>
        <w:pStyle w:val="Heading1"/>
      </w:pPr>
      <w:bookmarkStart w:id="22" w:name="_Toc484085294"/>
      <w:r>
        <w:t>Overview</w:t>
      </w:r>
      <w:bookmarkEnd w:id="22"/>
    </w:p>
    <w:p w:rsidR="004A2BBE" w:rsidRDefault="004A2BBE" w:rsidP="004A2BBE">
      <w:pPr>
        <w:pStyle w:val="Heading2"/>
      </w:pPr>
      <w:bookmarkStart w:id="23" w:name="_Toc484085295"/>
      <w:r>
        <w:t>Context</w:t>
      </w:r>
      <w:bookmarkEnd w:id="23"/>
    </w:p>
    <w:p w:rsidR="004A2BBE" w:rsidRPr="000E2D96" w:rsidRDefault="004A2BBE" w:rsidP="004A2BBE">
      <w:r w:rsidRPr="000E2D96">
        <w:t>The identity landscape within the Queensland Government includes federation amongst individual departments and interactions outside this boundary with other service delivery partners, public jurisdictions and the private sector.</w:t>
      </w:r>
    </w:p>
    <w:p w:rsidR="004A2BBE" w:rsidRPr="000E2D96" w:rsidRDefault="004A2BBE" w:rsidP="004A2BBE">
      <w:r w:rsidRPr="000E2D96">
        <w:object w:dxaOrig="8248" w:dyaOrig="8565">
          <v:shape id="_x0000_i1027" type="#_x0000_t75" style="width:385.5pt;height:401.5pt" o:ole="">
            <v:imagedata r:id="rId36" o:title=""/>
          </v:shape>
          <o:OLEObject Type="Embed" ProgID="Visio.Drawing.15" ShapeID="_x0000_i1027" DrawAspect="Content" ObjectID="_1558186733" r:id="rId37"/>
        </w:object>
      </w:r>
    </w:p>
    <w:p w:rsidR="004A2BBE" w:rsidRPr="000E2D96" w:rsidRDefault="004A2BBE" w:rsidP="004A2BBE">
      <w:r w:rsidRPr="000E2D96">
        <w:t>The relevant points to note are:</w:t>
      </w:r>
    </w:p>
    <w:p w:rsidR="004A2BBE" w:rsidRPr="000E2D96" w:rsidRDefault="004A2BBE" w:rsidP="004A2BBE">
      <w:pPr>
        <w:pStyle w:val="Bullet1"/>
      </w:pPr>
      <w:r w:rsidRPr="000E2D96">
        <w:t xml:space="preserve">The Queensland Government itself is a federated entity and as such individual departments may act as identity, attribute or credential providers and federate with other relying party departments. </w:t>
      </w:r>
    </w:p>
    <w:p w:rsidR="004A2BBE" w:rsidRPr="000E2D96" w:rsidRDefault="004A2BBE" w:rsidP="004A2BBE">
      <w:pPr>
        <w:pStyle w:val="Bullet1"/>
      </w:pPr>
      <w:r w:rsidRPr="000E2D96">
        <w:t>The Queensland Government has established internal federation schemes to aggregate departmental staff identity providers and operates a centralised customer identity provider (QGov) which is consumed in a federated model by multiple relying party departments.</w:t>
      </w:r>
    </w:p>
    <w:p w:rsidR="004A2BBE" w:rsidRPr="000E2D96" w:rsidRDefault="004A2BBE" w:rsidP="004A2BBE">
      <w:pPr>
        <w:pStyle w:val="Bullet1"/>
      </w:pPr>
      <w:r w:rsidRPr="000E2D96">
        <w:t>The Queensland Government is also a provider of assurances of identity, credential and attributes to other partners, jurisdictions and industry sectors. For example, federation with other State jurisdictions as part of the National Digital Identity Framework. Other examples are paper-based credentials such as State issued Birth, Death and Marriage Certificates and Drivers licences.</w:t>
      </w:r>
    </w:p>
    <w:p w:rsidR="004A2BBE" w:rsidRDefault="004A2BBE" w:rsidP="004A2BBE">
      <w:pPr>
        <w:pStyle w:val="Bullet1"/>
      </w:pPr>
      <w:r w:rsidRPr="000E2D96">
        <w:t>The Queensland Government also relies upon others partners, jurisdictions and industry sectors for identity, credential or attribute assurance</w:t>
      </w:r>
      <w:r w:rsidRPr="000E2D96">
        <w:rPr>
          <w:rFonts w:eastAsiaTheme="minorHAnsi"/>
        </w:rPr>
        <w:t>.</w:t>
      </w:r>
      <w:r w:rsidRPr="000E2D96">
        <w:t xml:space="preserve"> Examples include use of the National Healthcare Identifier Service, National Student Identifier, National Trusted Digital Identity Framework and other private sector identity services or agents which proof identity on behalf of Government.</w:t>
      </w:r>
    </w:p>
    <w:p w:rsidR="004A2BBE" w:rsidRDefault="004A2BBE" w:rsidP="004A2BBE">
      <w:pPr>
        <w:pStyle w:val="Heading2"/>
      </w:pPr>
      <w:bookmarkStart w:id="24" w:name="_Toc483475318"/>
      <w:bookmarkStart w:id="25" w:name="_Toc484085296"/>
      <w:r>
        <w:lastRenderedPageBreak/>
        <w:t>Overview of the Queensland Government identity landscape</w:t>
      </w:r>
      <w:bookmarkEnd w:id="24"/>
      <w:bookmarkEnd w:id="25"/>
    </w:p>
    <w:p w:rsidR="004A2BBE" w:rsidRPr="000E2D96" w:rsidRDefault="004A2BBE" w:rsidP="004A2BBE">
      <w:r w:rsidRPr="000E2D96">
        <w:t>The diagram below portrays a consolidated view of the identity landscape within the QLD Government.</w:t>
      </w:r>
      <w:r w:rsidRPr="000E2D96">
        <w:br/>
      </w:r>
    </w:p>
    <w:p w:rsidR="004A2BBE" w:rsidRPr="000E2D96" w:rsidRDefault="004A2BBE" w:rsidP="004A2BBE">
      <w:r w:rsidRPr="000E2D96">
        <w:object w:dxaOrig="8400" w:dyaOrig="7345">
          <v:shape id="_x0000_i1028" type="#_x0000_t75" style="width:449.5pt;height:395pt" o:ole="">
            <v:imagedata r:id="rId38" o:title=""/>
          </v:shape>
          <o:OLEObject Type="Embed" ProgID="Visio.Drawing.15" ShapeID="_x0000_i1028" DrawAspect="Content" ObjectID="_1558186734" r:id="rId39"/>
        </w:object>
      </w:r>
    </w:p>
    <w:p w:rsidR="004A2BBE" w:rsidRPr="000E2D96" w:rsidRDefault="004A2BBE" w:rsidP="004A2BBE"/>
    <w:p w:rsidR="004A2BBE" w:rsidRPr="000E2D96" w:rsidRDefault="004A2BBE" w:rsidP="004A2BBE">
      <w:r w:rsidRPr="000E2D96">
        <w:t>The relevant points to note are:</w:t>
      </w:r>
    </w:p>
    <w:p w:rsidR="004A2BBE" w:rsidRPr="000E2D96" w:rsidRDefault="004A2BBE" w:rsidP="004A2BBE">
      <w:pPr>
        <w:pStyle w:val="Bullet1"/>
      </w:pPr>
      <w:r w:rsidRPr="000E2D96">
        <w:t>Each agency manages the identities of their staff and contractors, which are federated with the whole-of-government Staff Identity Federation (QGSFAS) to support authentication to whole-of-government and cross-agency applications and ICT service providers for buildings, regional connectivity aggregation and customer service outlets.</w:t>
      </w:r>
    </w:p>
    <w:p w:rsidR="004A2BBE" w:rsidRPr="000E2D96" w:rsidRDefault="004A2BBE" w:rsidP="004A2BBE">
      <w:pPr>
        <w:pStyle w:val="Bullet1"/>
      </w:pPr>
      <w:r w:rsidRPr="000E2D96">
        <w:t>Agencies may federate to other agencies in a peer-to-peer fashion (or use the WofG Staff Identity Federation) to access agency resources and avoid the need to enroll and credential other agency staff.</w:t>
      </w:r>
    </w:p>
    <w:p w:rsidR="004A2BBE" w:rsidRPr="000E2D96" w:rsidRDefault="004A2BBE" w:rsidP="004A2BBE">
      <w:pPr>
        <w:pStyle w:val="Bullet1"/>
      </w:pPr>
      <w:r w:rsidRPr="000E2D96">
        <w:t>Agencies may rely upon a partner or another organization for identity assurance when providing access to agency resources. In some cases, an agency may need to enroll and manage the identities of a partner, should the partner not be best placed to do so or due to the level of assurance required.</w:t>
      </w:r>
    </w:p>
    <w:p w:rsidR="004A2BBE" w:rsidRPr="000E2D96" w:rsidRDefault="004A2BBE" w:rsidP="004A2BBE">
      <w:pPr>
        <w:pStyle w:val="Bullet1"/>
      </w:pPr>
      <w:r w:rsidRPr="000E2D96">
        <w:t>An agency may also act as a provider of identity for their staff when accessing partner resources.</w:t>
      </w:r>
    </w:p>
    <w:p w:rsidR="004A2BBE" w:rsidRPr="000E2D96" w:rsidRDefault="004A2BBE" w:rsidP="004A2BBE">
      <w:pPr>
        <w:pStyle w:val="Bullet1"/>
      </w:pPr>
      <w:r w:rsidRPr="000E2D96">
        <w:t xml:space="preserve">Agencies traditionally operate identity management systems for various clients e.g. patients, students. </w:t>
      </w:r>
    </w:p>
    <w:p w:rsidR="004A2BBE" w:rsidRPr="000E2D96" w:rsidRDefault="004A2BBE" w:rsidP="004A2BBE">
      <w:pPr>
        <w:pStyle w:val="Bullet1"/>
      </w:pPr>
      <w:r w:rsidRPr="000E2D96">
        <w:lastRenderedPageBreak/>
        <w:t>Agencies may federate their client identity management systems in a peer-to-peer fashion to share identity attribute information of clients held by one agency which is needed another agency.</w:t>
      </w:r>
    </w:p>
    <w:p w:rsidR="004A2BBE" w:rsidRDefault="004A2BBE" w:rsidP="004A2BBE">
      <w:pPr>
        <w:pStyle w:val="Bullet1"/>
      </w:pPr>
      <w:r w:rsidRPr="000E2D96">
        <w:t>The Queensland Government operates a consolidated digital identity and credential provider (QGov) for customer authentication. Agencies may also authenticate their customers directly, although these separate systems are to be federated such that customers registered with one agency can utilize their existing credential and identity to access resources associated with the another agency.</w:t>
      </w:r>
    </w:p>
    <w:p w:rsidR="004A2BBE" w:rsidRDefault="004A2BBE" w:rsidP="004A2BBE">
      <w:pPr>
        <w:pStyle w:val="Heading2"/>
      </w:pPr>
      <w:bookmarkStart w:id="26" w:name="_Toc484085297"/>
      <w:r>
        <w:t>Customer identity landscape</w:t>
      </w:r>
      <w:bookmarkEnd w:id="26"/>
    </w:p>
    <w:tbl>
      <w:tblPr>
        <w:tblStyle w:val="TableGrid"/>
        <w:tblW w:w="0" w:type="auto"/>
        <w:shd w:val="clear" w:color="auto" w:fill="F2F2F2" w:themeFill="background1" w:themeFillShade="F2"/>
        <w:tblLook w:val="04A0" w:firstRow="1" w:lastRow="0" w:firstColumn="1" w:lastColumn="0" w:noHBand="0" w:noVBand="1"/>
      </w:tblPr>
      <w:tblGrid>
        <w:gridCol w:w="9628"/>
      </w:tblGrid>
      <w:tr w:rsidR="00FB498F" w:rsidRPr="000E2D96" w:rsidTr="00472754">
        <w:tc>
          <w:tcPr>
            <w:tcW w:w="9628" w:type="dxa"/>
            <w:shd w:val="clear" w:color="auto" w:fill="F2F2F2" w:themeFill="background1" w:themeFillShade="F2"/>
          </w:tcPr>
          <w:p w:rsidR="00FB498F" w:rsidRPr="000E2D96" w:rsidRDefault="00FB498F" w:rsidP="00472754">
            <w:r w:rsidRPr="000E2D96">
              <w:t>Please note the customer identity landscape described below reflects a federated identity model in alignment with the vision and principles of this blueprint. The current QGCIDM (QGov) service offering and QGCIDM QGEA policy differ. See recommendations for more information.</w:t>
            </w:r>
          </w:p>
        </w:tc>
      </w:tr>
    </w:tbl>
    <w:p w:rsidR="00FB498F" w:rsidRPr="000E2D96" w:rsidRDefault="00FB498F" w:rsidP="00FB498F">
      <w:pPr>
        <w:pStyle w:val="Heading3"/>
      </w:pPr>
      <w:r w:rsidRPr="000E2D96">
        <w:t>Customer identity</w:t>
      </w:r>
    </w:p>
    <w:p w:rsidR="00FB498F" w:rsidRPr="000E2D96" w:rsidRDefault="00FB498F" w:rsidP="00FB498F">
      <w:r w:rsidRPr="000E2D96">
        <w:t xml:space="preserve">A customer may be an individual or organisation. Customers will likely hold one or more digital identities and associated credentials with different identity providers depending upon prior interactions. </w:t>
      </w:r>
    </w:p>
    <w:p w:rsidR="00FB498F" w:rsidRPr="000E2D96" w:rsidRDefault="00FB498F" w:rsidP="00FB498F">
      <w:r w:rsidRPr="000E2D96">
        <w:t>Some services require identification; other services can be accessed anonymously or pseudonymously but can also be used in an identified mode. Pseudonymous access provides a persistent identifier that obscures the real-world identity of the person, and may be useful for service personalisation where it is important to know that a returning user is same person that has visited before without needing to know their real-word identity.</w:t>
      </w:r>
    </w:p>
    <w:p w:rsidR="00FB498F" w:rsidRPr="000E2D96" w:rsidRDefault="00FB498F" w:rsidP="00FB498F">
      <w:r w:rsidRPr="000E2D96">
        <w:t>For more information regarding customer identity, refer to the Information Models document for example entity relationship models for Persons (individuals) and Organisations.</w:t>
      </w:r>
    </w:p>
    <w:p w:rsidR="00FB498F" w:rsidRPr="000E2D96" w:rsidRDefault="00FB498F" w:rsidP="00FB498F">
      <w:pPr>
        <w:pStyle w:val="Heading3"/>
      </w:pPr>
      <w:r w:rsidRPr="000E2D96">
        <w:t>Customer identifiers</w:t>
      </w:r>
    </w:p>
    <w:p w:rsidR="00FB498F" w:rsidRPr="000E2D96" w:rsidRDefault="00FB498F" w:rsidP="00FB498F">
      <w:r w:rsidRPr="000E2D96">
        <w:t>No single unique identifier for customers (or digital identities) is possible (or required) as customers can choose to have more than one identities with multiple identity providers.</w:t>
      </w:r>
    </w:p>
    <w:p w:rsidR="00FB498F" w:rsidRPr="000E2D96" w:rsidRDefault="00FB498F" w:rsidP="00FB498F">
      <w:r w:rsidRPr="000E2D96">
        <w:t>Different customer identifiers will commonly need to be mapped in the following scenarios:</w:t>
      </w:r>
    </w:p>
    <w:p w:rsidR="00FB498F" w:rsidRPr="000E2D96" w:rsidRDefault="00FB498F" w:rsidP="002718E0">
      <w:pPr>
        <w:pStyle w:val="Numberlist1"/>
        <w:numPr>
          <w:ilvl w:val="0"/>
          <w:numId w:val="36"/>
        </w:numPr>
        <w:ind w:left="1134" w:hanging="425"/>
      </w:pPr>
      <w:r w:rsidRPr="000E2D96">
        <w:t xml:space="preserve">Mapping a customer identifier from an IdP to another IdP’s customer identifier. </w:t>
      </w:r>
      <w:r w:rsidRPr="000E2D96">
        <w:br/>
      </w:r>
      <w:r w:rsidRPr="000E2D96">
        <w:br/>
        <w:t>Required when two Customer IdP’s are federated (as either a credential or identity provider). This is achieved easily when a Customer IdP supports multiple credential providers (a one-to-many mapping of credential identifiers to a local identity).</w:t>
      </w:r>
    </w:p>
    <w:p w:rsidR="00FB498F" w:rsidRPr="000E2D96" w:rsidRDefault="00FB498F" w:rsidP="002718E0">
      <w:pPr>
        <w:pStyle w:val="Numberlist1"/>
        <w:numPr>
          <w:ilvl w:val="0"/>
          <w:numId w:val="36"/>
        </w:numPr>
        <w:ind w:left="1134" w:hanging="425"/>
      </w:pPr>
      <w:r w:rsidRPr="000E2D96">
        <w:t xml:space="preserve">Mapping a customer identifier to client identifier. </w:t>
      </w:r>
      <w:r w:rsidRPr="000E2D96">
        <w:br/>
      </w:r>
      <w:r w:rsidRPr="000E2D96">
        <w:br/>
        <w:t xml:space="preserve">Required when a customer to access an online agency service or wishes to update their details across multiple agencies. </w:t>
      </w:r>
    </w:p>
    <w:p w:rsidR="00FB498F" w:rsidRPr="000E2D96" w:rsidRDefault="00FB498F" w:rsidP="002718E0">
      <w:pPr>
        <w:pStyle w:val="Numberlist1"/>
        <w:numPr>
          <w:ilvl w:val="0"/>
          <w:numId w:val="36"/>
        </w:numPr>
        <w:ind w:left="1134" w:hanging="425"/>
      </w:pPr>
      <w:r w:rsidRPr="000E2D96">
        <w:t>Mapping a client identifier to a customer identifier.</w:t>
      </w:r>
      <w:r w:rsidRPr="000E2D96">
        <w:br/>
      </w:r>
      <w:r w:rsidRPr="000E2D96">
        <w:br/>
        <w:t>Required when a client creates a digital customer identity to transact online, or undertakes an additional verification which is to be added to their digital customer identity.</w:t>
      </w:r>
    </w:p>
    <w:p w:rsidR="00FB498F" w:rsidRPr="000E2D96" w:rsidRDefault="00FB498F" w:rsidP="00FB498F">
      <w:r w:rsidRPr="000E2D96">
        <w:t>For more information regarding scenarios 2 and 3 see the pattern library - Linking Customer and Client Identities which outlines example processes to link identifiers and which party is likely best placed to maintain the mapping.</w:t>
      </w:r>
    </w:p>
    <w:p w:rsidR="00FB498F" w:rsidRPr="000E2D96" w:rsidRDefault="00FB498F" w:rsidP="00FB498F">
      <w:r w:rsidRPr="000E2D96">
        <w:lastRenderedPageBreak/>
        <w:t>Established identifiers (public or private) which can be shared should be used wherever suitable (and as appropriate) between federated parties as this avoids the need to map identifiers between domains which typically requires an identity resolution (enrolment) process.</w:t>
      </w:r>
    </w:p>
    <w:p w:rsidR="00FB498F" w:rsidRPr="000E2D96" w:rsidRDefault="00FB498F" w:rsidP="00FB498F">
      <w:r w:rsidRPr="000E2D96">
        <w:t xml:space="preserve">Appendix A of the Decision Framework contains a list of well-known and established identifiers for Person and Organisation entities. </w:t>
      </w:r>
    </w:p>
    <w:p w:rsidR="00FB498F" w:rsidRPr="000E2D96" w:rsidRDefault="00FB498F" w:rsidP="00FB498F">
      <w:r w:rsidRPr="000E2D96">
        <w:t>Identifier issued by Customer Identity providers should be based upon unique pairwise identifier algorithms which generate a unique identifier per Relying Party service to ensure Relying Parties cannot use a shared identifier to cross-identify individuals without consent.</w:t>
      </w:r>
    </w:p>
    <w:p w:rsidR="002718E0" w:rsidRPr="007F4688" w:rsidRDefault="002718E0" w:rsidP="002718E0">
      <w:pPr>
        <w:pStyle w:val="Heading3"/>
      </w:pPr>
      <w:r w:rsidRPr="007F4688">
        <w:t>Federated assurances of Credential and Customer Identity</w:t>
      </w:r>
    </w:p>
    <w:p w:rsidR="002718E0" w:rsidRPr="007F4688" w:rsidRDefault="002718E0" w:rsidP="002718E0">
      <w:r w:rsidRPr="007F4688">
        <w:t>Customers when interacting with the Queensland Government will be given the choice to re-use a previous credential and/or verified identity information from another Queensland Government agency, state jurisdiction, commonwealth government or trusted third party. Customers can still choose to register a new credential or verify their identity with the Queensland Government.</w:t>
      </w:r>
    </w:p>
    <w:p w:rsidR="002718E0" w:rsidRPr="007F4688" w:rsidRDefault="002718E0" w:rsidP="002718E0">
      <w:r w:rsidRPr="007F4688">
        <w:t xml:space="preserve">Without federation the customer would need to re-register and re-prove their identity across this boundaries (which is common for traditional analogue processes today). However, in some situations, the customer’s previous identity verification or credential may need to be upgraded to meet the requirements of the new relying party agency consummate with the business risk/nature of the transaction. </w:t>
      </w:r>
    </w:p>
    <w:p w:rsidR="002718E0" w:rsidRPr="007F4688" w:rsidRDefault="002718E0" w:rsidP="002718E0">
      <w:r w:rsidRPr="007F4688">
        <w:t>Gartner states a hybrid approach to identity proofing is required as new models are based on user-controlled identities and trusted third-party identity providers. This requires a dynamic "step-up"-style proofing to bridge the gap between the level of trust in the third-party identity and business requirements.</w:t>
      </w:r>
    </w:p>
    <w:p w:rsidR="002718E0" w:rsidRPr="007F4688" w:rsidRDefault="002718E0" w:rsidP="002718E0">
      <w:pPr>
        <w:pStyle w:val="Heading3"/>
      </w:pPr>
      <w:r w:rsidRPr="007F4688">
        <w:t>Multiple Queensland Government Customer Identity Providers</w:t>
      </w:r>
    </w:p>
    <w:p w:rsidR="002718E0" w:rsidRPr="007F4688" w:rsidRDefault="002718E0" w:rsidP="002718E0">
      <w:r w:rsidRPr="007F4688">
        <w:t xml:space="preserve">Multiple providers of Customer Identity will operate within the Queensland Government. A consolidated Queensland Government Customer Identity Provider (QGov) is operated by One Stop-Shop, however individual agencies may elect to authenticate their customers directly (Agency Customer Identity Provider). The term provider implies the need to provide (share) assurances of identity and credential to other relying parties or Customer Identity Providers in an interoperable format. </w:t>
      </w:r>
    </w:p>
    <w:p w:rsidR="002718E0" w:rsidRPr="007F4688" w:rsidRDefault="002718E0" w:rsidP="002718E0">
      <w:r w:rsidRPr="007F4688">
        <w:t>Customer Identity Providers (QGov or an Agency Identity Provider) which cover similar or the same groups of user constituencies should be federated as overtime user’s identified by one IdP may need to access services which utilise a different IdP. Federating these identity providers will:</w:t>
      </w:r>
    </w:p>
    <w:p w:rsidR="002718E0" w:rsidRPr="007F4688" w:rsidRDefault="002718E0" w:rsidP="002718E0">
      <w:pPr>
        <w:pStyle w:val="Bullet1"/>
      </w:pPr>
      <w:r w:rsidRPr="007F4688">
        <w:t>reduce the issuance of single purpose credentials by Queensland Government (ability to re-use credentials issued by another agency)</w:t>
      </w:r>
    </w:p>
    <w:p w:rsidR="002718E0" w:rsidRPr="007F4688" w:rsidRDefault="002718E0" w:rsidP="002718E0">
      <w:pPr>
        <w:pStyle w:val="Bullet1"/>
      </w:pPr>
      <w:r w:rsidRPr="007F4688">
        <w:t>reduce the need for customers to continually re-prove their identity to Queensland Government (ability to re-use of previous identity verifications undertaken by another agency)</w:t>
      </w:r>
    </w:p>
    <w:p w:rsidR="002718E0" w:rsidRPr="007F4688" w:rsidRDefault="002718E0" w:rsidP="002718E0">
      <w:r w:rsidRPr="007F4688">
        <w:t>At a minimum, each Agency Customer Identity Provider must be federated with QGov, however may also establish pair-wise federations with other Agency Customer Identity Providers where appropriate.</w:t>
      </w:r>
    </w:p>
    <w:p w:rsidR="002718E0" w:rsidRPr="007F4688" w:rsidRDefault="002718E0" w:rsidP="002718E0">
      <w:r w:rsidRPr="007F4688">
        <w:t>Agency Customer Identity Providers within QLD Government must meet the standards outlined in the standards document. The pattern library document outlines a model to integrate (federate) two Agency Customer Identity Providers.</w:t>
      </w:r>
    </w:p>
    <w:p w:rsidR="002718E0" w:rsidRPr="007F4688" w:rsidRDefault="002718E0" w:rsidP="002718E0">
      <w:pPr>
        <w:pStyle w:val="Heading3"/>
      </w:pPr>
      <w:r w:rsidRPr="007F4688">
        <w:lastRenderedPageBreak/>
        <w:t>Trust frameworks</w:t>
      </w:r>
    </w:p>
    <w:p w:rsidR="002718E0" w:rsidRPr="007F4688" w:rsidRDefault="002718E0" w:rsidP="002718E0">
      <w:r w:rsidRPr="007F4688">
        <w:t xml:space="preserve">Within an identity ecosystem encompassing multiple agencies, tiers of government and the private sector, different frameworks for trust and identity assurance will operate for various business purposes. Even within the Queensland Government there is a wide variance in the policies, practices and standards followed to established identities which are each valid for local business requirements. </w:t>
      </w:r>
    </w:p>
    <w:p w:rsidR="002718E0" w:rsidRPr="007F4688" w:rsidRDefault="002718E0" w:rsidP="002718E0">
      <w:r w:rsidRPr="007F4688">
        <w:t xml:space="preserve">Variations in identity proofing standards and process across these boundaries, and in some cases subtle nuances in risk appetite, organizational culture, policies and practices can prevent an identity verified by one party being relied upon by another party, which can force customers to undergo additional verifications. </w:t>
      </w:r>
    </w:p>
    <w:p w:rsidR="002718E0" w:rsidRPr="007F4688" w:rsidRDefault="002718E0" w:rsidP="002718E0">
      <w:r w:rsidRPr="007F4688">
        <w:t>For these same reasons mapping different assurance level numbers between trust frameworks results in identities being downgraded to the lowest common denominator to the point where only the credential is of value. The proposed approach outlined is to re-use individual attribute verifications wherever suitable (based upon the metadata regarding the verification) and progressively upgrade the verification if required.</w:t>
      </w:r>
    </w:p>
    <w:p w:rsidR="002718E0" w:rsidRPr="007F4688" w:rsidRDefault="002718E0" w:rsidP="002718E0">
      <w:r w:rsidRPr="007F4688">
        <w:t>Whilst standardization of identity proofing practices, risk assessment frameworks and accountabilities across all parties would greatly assist in increasing mutual recognition and trust in one another’s identities, this will likely take many years to achieve even if an appropriate policy instrument existed as:</w:t>
      </w:r>
    </w:p>
    <w:p w:rsidR="002718E0" w:rsidRPr="007F4688" w:rsidRDefault="002718E0" w:rsidP="002718E0">
      <w:pPr>
        <w:pStyle w:val="Bullet1"/>
      </w:pPr>
      <w:r w:rsidRPr="007F4688">
        <w:t>significant funding is required for business process and form changes</w:t>
      </w:r>
    </w:p>
    <w:p w:rsidR="002718E0" w:rsidRPr="007F4688" w:rsidRDefault="002718E0" w:rsidP="002718E0">
      <w:pPr>
        <w:pStyle w:val="Bullet1"/>
      </w:pPr>
      <w:r w:rsidRPr="007F4688">
        <w:t>identifies proofed under existing processes, may take (for example) five years or more to be re-proofed under the new process</w:t>
      </w:r>
    </w:p>
    <w:p w:rsidR="002718E0" w:rsidRPr="007F4688" w:rsidRDefault="002718E0" w:rsidP="002718E0">
      <w:pPr>
        <w:pStyle w:val="Bullet1"/>
      </w:pPr>
      <w:r w:rsidRPr="007F4688">
        <w:t>third party identity providers will not follow QLD Government or agency specific processes (which defeats the point of leveraging a provider’s user base of pre-identified customers)</w:t>
      </w:r>
    </w:p>
    <w:p w:rsidR="002718E0" w:rsidRPr="007F4688" w:rsidRDefault="002718E0" w:rsidP="002718E0">
      <w:pPr>
        <w:pStyle w:val="Bullet1"/>
      </w:pPr>
      <w:r w:rsidRPr="007F4688">
        <w:t xml:space="preserve">agency identities may remain sufficient for local needs; or may be deemed suitable by others for various purposes without meeting a </w:t>
      </w:r>
      <w:r>
        <w:t>whole-of-government</w:t>
      </w:r>
      <w:r w:rsidRPr="007F4688">
        <w:t xml:space="preserve"> standard.</w:t>
      </w:r>
    </w:p>
    <w:p w:rsidR="002718E0" w:rsidRPr="007F4688" w:rsidRDefault="002718E0" w:rsidP="002718E0">
      <w:r w:rsidRPr="007F4688">
        <w:t>For the foreseeable future customer identity solutions must contend with identities verified to different levels by different parties. In parallel, efforts to continue to standardise bands of common requirements is important to build consensus and mutually respected assurances of identity. Agencies are currently required to follow the National Identity Proofing Guidelines (NIPG) when establishing an individual’s identity.</w:t>
      </w:r>
    </w:p>
    <w:p w:rsidR="002718E0" w:rsidRPr="007F4688" w:rsidRDefault="002718E0" w:rsidP="002718E0">
      <w:r w:rsidRPr="007F4688">
        <w:t xml:space="preserve">The previous approach for customer identity was to create a single </w:t>
      </w:r>
      <w:r>
        <w:t>whole-of-government</w:t>
      </w:r>
      <w:r w:rsidRPr="007F4688">
        <w:t xml:space="preserve"> solution, single customer identity proofed under a new single standard. As all identities have had to be registered to a ‘golden’ level, it has not been possible to easily leverage existing identities from agencies, agency counter services, low-doc attestations, other jurisdictions or emerging third party providers unless those identities were proofed under the QGov framework the system was designed against. This was an opportunistic approach in 2012, however in today’s federated environment such a model delivers minimal value (in the short term) to both service delivery agencies and Queenslanders (benefits to both audiences being intrinsically coupled and linked to service adoption).</w:t>
      </w:r>
    </w:p>
    <w:p w:rsidR="002718E0" w:rsidRPr="007F4688" w:rsidRDefault="002718E0" w:rsidP="002718E0">
      <w:r w:rsidRPr="007F4688">
        <w:t>Interoperability and portability of identity across boundaries should be the primary objective, which requires a different approach.</w:t>
      </w:r>
    </w:p>
    <w:p w:rsidR="002718E0" w:rsidRPr="007F4688" w:rsidRDefault="002718E0" w:rsidP="002718E0">
      <w:r w:rsidRPr="007F4688">
        <w:t xml:space="preserve">It is important to acknowledge that despite the ability to re-use previous identity verifications, Customers will still be required to prove their identity as and when required to meet service eligibility requirements consummate with the relying parties risk determination to ensure they are dealing with the intended individual. </w:t>
      </w:r>
    </w:p>
    <w:p w:rsidR="002718E0" w:rsidRPr="007F4688" w:rsidRDefault="002718E0" w:rsidP="002718E0">
      <w:r w:rsidRPr="007F4688">
        <w:lastRenderedPageBreak/>
        <w:t xml:space="preserve">Variations in service eligibility requirements and identity verification requirements across services (or agencies) may require customers to provide additional evidence of identity should they previously not have undertaken the pre-requisite verification. </w:t>
      </w:r>
    </w:p>
    <w:p w:rsidR="002718E0" w:rsidRPr="007F4688" w:rsidRDefault="002718E0" w:rsidP="002718E0">
      <w:r w:rsidRPr="007F4688">
        <w:t xml:space="preserve">For the most part variation across services is expected as different services will have different eligibility requirements, however in some cases agencies may over classify requirements which can force their customers to undergo additional verifications. It can be hard to quantify the extent of the impact of this on an individual customer as it depends upon factors including the current service interaction, previous interactions and timing as to when existing verifications remain valid. </w:t>
      </w:r>
    </w:p>
    <w:p w:rsidR="002718E0" w:rsidRPr="007F4688" w:rsidRDefault="002718E0" w:rsidP="002718E0">
      <w:r w:rsidRPr="007F4688">
        <w:t>In some cases, the customer may believe the additional verification is warranted or is simply unaware an existing verification could have been used due to unfamiliarity or infrequent interactions. Once the additional verification is achieved it can be re-used for the current service and relied upon for other agency services which accept it. The largest foreseeable impact is where the customer cannot meet the additional verification requirement (e.g. does not have the required documentation available).</w:t>
      </w:r>
    </w:p>
    <w:p w:rsidR="002718E0" w:rsidRPr="007F4688" w:rsidRDefault="002718E0" w:rsidP="002718E0">
      <w:r w:rsidRPr="007F4688">
        <w:t>Harmonisation and peer-moderation of service eligibility requirements across agencies may assist in risk management conversations when new services are on boarded. This can include the use of data analytics which indicate what verifications customers currently hold and demographics indicating what verifications can be reasonably achieved against a proposed agency policy. This can serve as a barometer to ensure relying party security polices and risk is balanced.</w:t>
      </w:r>
    </w:p>
    <w:p w:rsidR="002718E0" w:rsidRPr="007F4688" w:rsidRDefault="002718E0" w:rsidP="002718E0">
      <w:pPr>
        <w:pStyle w:val="Heading3"/>
      </w:pPr>
      <w:r>
        <w:t>Whole-of-government</w:t>
      </w:r>
      <w:r w:rsidRPr="007F4688">
        <w:t xml:space="preserve"> Customer Identity Provider (QGov)</w:t>
      </w:r>
    </w:p>
    <w:p w:rsidR="002718E0" w:rsidRPr="007F4688" w:rsidRDefault="002718E0" w:rsidP="002718E0">
      <w:r w:rsidRPr="007F4688">
        <w:t>The QGov service can be used by customers to:</w:t>
      </w:r>
    </w:p>
    <w:p w:rsidR="002718E0" w:rsidRPr="007F4688" w:rsidRDefault="002718E0" w:rsidP="002718E0">
      <w:pPr>
        <w:pStyle w:val="Bullet1"/>
      </w:pPr>
      <w:r w:rsidRPr="007F4688">
        <w:t>authenticate themselves to services (which may include proofing their identity)</w:t>
      </w:r>
    </w:p>
    <w:p w:rsidR="002718E0" w:rsidRPr="007F4688" w:rsidRDefault="002718E0" w:rsidP="002718E0">
      <w:pPr>
        <w:pStyle w:val="Bullet1"/>
      </w:pPr>
      <w:r w:rsidRPr="007F4688">
        <w:t xml:space="preserve">authorize sharing information between two or more agencies and/or 3rd parties </w:t>
      </w:r>
    </w:p>
    <w:p w:rsidR="002718E0" w:rsidRPr="007F4688" w:rsidRDefault="002718E0" w:rsidP="002718E0">
      <w:r w:rsidRPr="007F4688">
        <w:t>Customers established a digital profile with QLD Government which can be used store previous identity verifications and manage their data sharing preferences.</w:t>
      </w:r>
    </w:p>
    <w:p w:rsidR="002718E0" w:rsidRPr="007F4688" w:rsidRDefault="002718E0" w:rsidP="002718E0">
      <w:r w:rsidRPr="007F4688">
        <w:t>The QGov service operates as a:</w:t>
      </w:r>
    </w:p>
    <w:p w:rsidR="002718E0" w:rsidRPr="007F4688" w:rsidRDefault="002718E0" w:rsidP="002718E0">
      <w:pPr>
        <w:pStyle w:val="Bullet1"/>
      </w:pPr>
      <w:r w:rsidRPr="002718E0">
        <w:rPr>
          <w:b/>
        </w:rPr>
        <w:t>Digital Credential Broker</w:t>
      </w:r>
      <w:r w:rsidRPr="007F4688">
        <w:t xml:space="preserve"> – to accept a multitude of credentials and provide a trust elevation process to upgrade the strength the credential/session where required. This includes brokering:</w:t>
      </w:r>
    </w:p>
    <w:p w:rsidR="002718E0" w:rsidRPr="007F4688" w:rsidRDefault="002718E0" w:rsidP="002718E0">
      <w:pPr>
        <w:pStyle w:val="Bullet2"/>
      </w:pPr>
      <w:r w:rsidRPr="007F4688">
        <w:t>social media credentials</w:t>
      </w:r>
    </w:p>
    <w:p w:rsidR="002718E0" w:rsidRPr="007F4688" w:rsidRDefault="002718E0" w:rsidP="002718E0">
      <w:pPr>
        <w:pStyle w:val="Bullet2"/>
      </w:pPr>
      <w:r w:rsidRPr="007F4688">
        <w:t>credentials from other agency customer identity providers</w:t>
      </w:r>
    </w:p>
    <w:p w:rsidR="002718E0" w:rsidRPr="007F4688" w:rsidRDefault="002718E0" w:rsidP="002718E0">
      <w:pPr>
        <w:pStyle w:val="Bullet2"/>
      </w:pPr>
      <w:r w:rsidRPr="007F4688">
        <w:t>digital identity schemes operated by government (commonwealth and other state jurisdictions) or 3rd parties</w:t>
      </w:r>
    </w:p>
    <w:p w:rsidR="002718E0" w:rsidRPr="007F4688" w:rsidRDefault="002718E0" w:rsidP="002718E0">
      <w:pPr>
        <w:pStyle w:val="Bullet1"/>
      </w:pPr>
      <w:r w:rsidRPr="002718E0">
        <w:rPr>
          <w:b/>
        </w:rPr>
        <w:t>Digital Credential Provider</w:t>
      </w:r>
      <w:r w:rsidRPr="007F4688">
        <w:t xml:space="preserve"> – to allow customers to register a QLD Government Account (QGA) credential, login using a one-time code (password-less authentication) and provide multi-factor credential options to ‘step-up’ the strength of a BYO credential as required.</w:t>
      </w:r>
    </w:p>
    <w:p w:rsidR="002718E0" w:rsidRPr="007F4688" w:rsidRDefault="002718E0" w:rsidP="002718E0">
      <w:pPr>
        <w:pStyle w:val="Bullet1"/>
      </w:pPr>
      <w:r w:rsidRPr="002718E0">
        <w:rPr>
          <w:b/>
        </w:rPr>
        <w:t>Digital Identity Broker</w:t>
      </w:r>
      <w:r w:rsidRPr="007F4688">
        <w:t xml:space="preserve"> – to accept a multitude of identities from authoritative sources and provide a trust elevation process to upgrade the strength the session where required. This includes the ability to leverage attributes from:</w:t>
      </w:r>
    </w:p>
    <w:p w:rsidR="002718E0" w:rsidRPr="007F4688" w:rsidRDefault="002718E0" w:rsidP="002718E0">
      <w:pPr>
        <w:pStyle w:val="Bullet2"/>
      </w:pPr>
      <w:r w:rsidRPr="007F4688">
        <w:t>existing agency client identities</w:t>
      </w:r>
    </w:p>
    <w:p w:rsidR="002718E0" w:rsidRPr="007F4688" w:rsidRDefault="002718E0" w:rsidP="002718E0">
      <w:pPr>
        <w:pStyle w:val="Bullet2"/>
      </w:pPr>
      <w:r w:rsidRPr="007F4688">
        <w:t>agency customer identities</w:t>
      </w:r>
    </w:p>
    <w:p w:rsidR="002718E0" w:rsidRPr="007F4688" w:rsidRDefault="002718E0" w:rsidP="002718E0">
      <w:pPr>
        <w:pStyle w:val="Bullet2"/>
      </w:pPr>
      <w:r w:rsidRPr="007F4688">
        <w:t>verified identity documentation</w:t>
      </w:r>
    </w:p>
    <w:p w:rsidR="002718E0" w:rsidRPr="007F4688" w:rsidRDefault="002718E0" w:rsidP="002718E0">
      <w:pPr>
        <w:pStyle w:val="Bullet2"/>
      </w:pPr>
      <w:r w:rsidRPr="007F4688">
        <w:lastRenderedPageBreak/>
        <w:t>digital identity schemes operated by government (commonwealth and other state jurisdictions) or 3rd parties</w:t>
      </w:r>
    </w:p>
    <w:p w:rsidR="002718E0" w:rsidRPr="007F4688" w:rsidRDefault="002718E0" w:rsidP="002718E0">
      <w:pPr>
        <w:pStyle w:val="Bullet2"/>
      </w:pPr>
      <w:r w:rsidRPr="007F4688">
        <w:t>a variety of standalone providers of various attributes of interest.</w:t>
      </w:r>
    </w:p>
    <w:p w:rsidR="002718E0" w:rsidRPr="007F4688" w:rsidRDefault="002718E0" w:rsidP="002718E0">
      <w:pPr>
        <w:pStyle w:val="Bullet1"/>
      </w:pPr>
      <w:r w:rsidRPr="002718E0">
        <w:rPr>
          <w:b/>
        </w:rPr>
        <w:t>Digital Authorization Service</w:t>
      </w:r>
      <w:r w:rsidRPr="007F4688">
        <w:t xml:space="preserve"> – to support:</w:t>
      </w:r>
    </w:p>
    <w:p w:rsidR="002718E0" w:rsidRPr="007F4688" w:rsidRDefault="002718E0" w:rsidP="002718E0">
      <w:pPr>
        <w:pStyle w:val="Bullet2"/>
      </w:pPr>
      <w:r w:rsidRPr="007F4688">
        <w:t>customer-controlled consent and release of attribute information from their digital profile to a relying party as part of an authentication event (authentication is achieved via a customer authorizing a relying party access to select identity attributes)</w:t>
      </w:r>
    </w:p>
    <w:p w:rsidR="002718E0" w:rsidRPr="007F4688" w:rsidRDefault="002718E0" w:rsidP="002718E0">
      <w:pPr>
        <w:pStyle w:val="Bullet2"/>
      </w:pPr>
      <w:r w:rsidRPr="007F4688">
        <w:t>customer-controlled sharing of information and/or API access between two or more agencies and/or 3rd parties</w:t>
      </w:r>
    </w:p>
    <w:p w:rsidR="002718E0" w:rsidRDefault="002718E0" w:rsidP="002718E0">
      <w:r w:rsidRPr="007F4688">
        <w:t xml:space="preserve">The diagram below portrays an example consolidated model for the QGov Customer Identity Provider which must accommodate a diverse range of customer populations, multiple relying party agency requirements and platforms including web portals, APIs and mobile applications. </w:t>
      </w:r>
    </w:p>
    <w:p w:rsidR="002718E0" w:rsidRPr="007F4688" w:rsidRDefault="002718E0" w:rsidP="002718E0">
      <w:r w:rsidRPr="007F4688">
        <w:rPr>
          <w:noProof/>
          <w:lang w:eastAsia="en-AU"/>
        </w:rPr>
        <w:drawing>
          <wp:inline distT="0" distB="0" distL="0" distR="0" wp14:anchorId="14D0298A" wp14:editId="10D6597E">
            <wp:extent cx="5619509" cy="4759683"/>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27815" cy="4766719"/>
                    </a:xfrm>
                    <a:prstGeom prst="rect">
                      <a:avLst/>
                    </a:prstGeom>
                  </pic:spPr>
                </pic:pic>
              </a:graphicData>
            </a:graphic>
          </wp:inline>
        </w:drawing>
      </w:r>
    </w:p>
    <w:p w:rsidR="002718E0" w:rsidRPr="007F4688" w:rsidRDefault="002718E0" w:rsidP="002718E0">
      <w:r w:rsidRPr="007F4688">
        <w:t>An agency Customer Identity Provider may follow a similar model, although typically only needs to address the requirements of a single agency.</w:t>
      </w:r>
    </w:p>
    <w:p w:rsidR="002718E0" w:rsidRPr="007F4688" w:rsidRDefault="002718E0" w:rsidP="002718E0">
      <w:pPr>
        <w:pStyle w:val="Heading4"/>
      </w:pPr>
      <w:r w:rsidRPr="007F4688">
        <w:t>Identity Broker</w:t>
      </w:r>
    </w:p>
    <w:p w:rsidR="002718E0" w:rsidRPr="007F4688" w:rsidRDefault="002718E0" w:rsidP="002718E0">
      <w:r w:rsidRPr="007F4688">
        <w:t>The QGov service operates as an identity broker which assembles a digital identity dynamically to match a particular relying party’s access security policy. Previous verifications the customer has undertaken which are stored in their digital profile can be re-used, and any additional verifications needed to meet the policy can be brokered from the appropriate authoritative source.</w:t>
      </w:r>
    </w:p>
    <w:p w:rsidR="002718E0" w:rsidRPr="007F4688" w:rsidRDefault="002718E0" w:rsidP="002718E0">
      <w:r w:rsidRPr="007F4688">
        <w:lastRenderedPageBreak/>
        <w:t>Relying party agencies effectively ‘outsource’ and entrust QGov to carry out their identity registration (proofing) and credentialing processes.</w:t>
      </w:r>
    </w:p>
    <w:p w:rsidR="002718E0" w:rsidRPr="007F4688" w:rsidRDefault="002718E0" w:rsidP="002718E0">
      <w:r w:rsidRPr="007F4688">
        <w:t>In line with a progressive proofing approach and privacy principles, customers need only meet the level of identification required by the service they are using. They need not meet an arbitrary level of assurance dictated by the Identity provider. Customers are not precluded from adding additional verifications to their profile as they wish at any time.</w:t>
      </w:r>
    </w:p>
    <w:p w:rsidR="002718E0" w:rsidRPr="007F4688" w:rsidRDefault="002718E0" w:rsidP="002718E0">
      <w:r w:rsidRPr="007F4688">
        <w:t>The diagram below depicts this model at a high level which is further explained:</w:t>
      </w:r>
    </w:p>
    <w:p w:rsidR="002718E0" w:rsidRPr="007F4688" w:rsidRDefault="002718E0" w:rsidP="002718E0">
      <w:r w:rsidRPr="007F4688">
        <w:object w:dxaOrig="8525" w:dyaOrig="4725">
          <v:shape id="_x0000_i1029" type="#_x0000_t75" style="width:448.5pt;height:249pt" o:ole="">
            <v:imagedata r:id="rId41" o:title=""/>
          </v:shape>
          <o:OLEObject Type="Embed" ProgID="Visio.Drawing.15" ShapeID="_x0000_i1029" DrawAspect="Content" ObjectID="_1558186735" r:id="rId42"/>
        </w:object>
      </w:r>
    </w:p>
    <w:p w:rsidR="002718E0" w:rsidRPr="007F4688" w:rsidRDefault="002718E0" w:rsidP="002718E0">
      <w:pPr>
        <w:pStyle w:val="Heading4"/>
      </w:pPr>
      <w:r w:rsidRPr="007F4688">
        <w:t>Attribute-driven access polices (relying party risk determination)</w:t>
      </w:r>
    </w:p>
    <w:p w:rsidR="00285476" w:rsidRDefault="002718E0" w:rsidP="002718E0">
      <w:pPr>
        <w:pStyle w:val="BodyText"/>
      </w:pPr>
      <w:r w:rsidRPr="007F4688">
        <w:t>The relying party agency is responsible and accountable for ensuring they are dealing with the intended client. Agencies are to describe their service eligibility requirements (based upon a risk assessment) in business terms pertaining to identity verification such as requirements for:</w:t>
      </w:r>
    </w:p>
    <w:p w:rsidR="002A370D" w:rsidRPr="007F4688" w:rsidRDefault="002A370D" w:rsidP="002A370D"/>
    <w:tbl>
      <w:tblPr>
        <w:tblStyle w:val="TableGrid"/>
        <w:tblW w:w="864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103"/>
      </w:tblGrid>
      <w:tr w:rsidR="002A370D" w:rsidRPr="007F4688" w:rsidTr="002A370D">
        <w:tc>
          <w:tcPr>
            <w:tcW w:w="3544" w:type="dxa"/>
          </w:tcPr>
          <w:p w:rsidR="002A370D" w:rsidRPr="007F4688" w:rsidRDefault="002A370D" w:rsidP="002A370D">
            <w:pPr>
              <w:pStyle w:val="tablebullet"/>
            </w:pPr>
            <w:r w:rsidRPr="007F4688">
              <w:t>proof of name</w:t>
            </w:r>
          </w:p>
          <w:p w:rsidR="002A370D" w:rsidRPr="007F4688" w:rsidRDefault="002A370D" w:rsidP="002A370D">
            <w:pPr>
              <w:pStyle w:val="tablebullet"/>
            </w:pPr>
            <w:r w:rsidRPr="007F4688">
              <w:t>proof of age</w:t>
            </w:r>
          </w:p>
          <w:p w:rsidR="002A370D" w:rsidRPr="007F4688" w:rsidRDefault="002A370D" w:rsidP="002A370D">
            <w:pPr>
              <w:pStyle w:val="tablebullet"/>
            </w:pPr>
            <w:r w:rsidRPr="007F4688">
              <w:t>proof of address</w:t>
            </w:r>
          </w:p>
          <w:p w:rsidR="002A370D" w:rsidRPr="007F4688" w:rsidRDefault="002A370D" w:rsidP="002A370D">
            <w:pPr>
              <w:pStyle w:val="tablebullet"/>
            </w:pPr>
            <w:r w:rsidRPr="007F4688">
              <w:t xml:space="preserve">proof of relationship </w:t>
            </w:r>
          </w:p>
          <w:p w:rsidR="002A370D" w:rsidRPr="007F4688" w:rsidRDefault="002A370D" w:rsidP="002A370D">
            <w:pPr>
              <w:pStyle w:val="tablebullet"/>
            </w:pPr>
            <w:r w:rsidRPr="007F4688">
              <w:t>proof of certification</w:t>
            </w:r>
          </w:p>
          <w:p w:rsidR="002A370D" w:rsidRPr="007F4688" w:rsidRDefault="002A370D" w:rsidP="00401F81">
            <w:pPr>
              <w:pStyle w:val="tablebullet"/>
            </w:pPr>
            <w:r w:rsidRPr="007F4688">
              <w:t>proof of license/permit</w:t>
            </w:r>
          </w:p>
          <w:p w:rsidR="002A370D" w:rsidRPr="007F4688" w:rsidRDefault="002A370D" w:rsidP="00401F81">
            <w:pPr>
              <w:pStyle w:val="tablebullet2"/>
            </w:pPr>
            <w:r w:rsidRPr="007F4688">
              <w:t>occupational license</w:t>
            </w:r>
          </w:p>
          <w:p w:rsidR="002A370D" w:rsidRPr="007F4688" w:rsidRDefault="002A370D" w:rsidP="00401F81">
            <w:pPr>
              <w:pStyle w:val="tablebullet2"/>
            </w:pPr>
            <w:r w:rsidRPr="007F4688">
              <w:t>blue card</w:t>
            </w:r>
          </w:p>
        </w:tc>
        <w:tc>
          <w:tcPr>
            <w:tcW w:w="5103" w:type="dxa"/>
          </w:tcPr>
          <w:p w:rsidR="002A370D" w:rsidRPr="007F4688" w:rsidRDefault="002A370D" w:rsidP="002A370D">
            <w:pPr>
              <w:pStyle w:val="tablebullet"/>
            </w:pPr>
            <w:r w:rsidRPr="007F4688">
              <w:t>proof of residency</w:t>
            </w:r>
          </w:p>
          <w:p w:rsidR="002A370D" w:rsidRPr="007F4688" w:rsidRDefault="002A370D" w:rsidP="002A370D">
            <w:pPr>
              <w:pStyle w:val="tablebullet"/>
            </w:pPr>
            <w:r w:rsidRPr="007F4688">
              <w:t>proof of relationship</w:t>
            </w:r>
          </w:p>
          <w:p w:rsidR="002A370D" w:rsidRPr="007F4688" w:rsidRDefault="002A370D" w:rsidP="002A370D">
            <w:pPr>
              <w:pStyle w:val="tablebullet"/>
            </w:pPr>
            <w:r w:rsidRPr="007F4688">
              <w:t>proof of role</w:t>
            </w:r>
          </w:p>
          <w:p w:rsidR="002A370D" w:rsidRPr="007F4688" w:rsidRDefault="002A370D" w:rsidP="002A370D">
            <w:pPr>
              <w:pStyle w:val="tablebullet2"/>
            </w:pPr>
            <w:r w:rsidRPr="007F4688">
              <w:t>parent/legal guardian</w:t>
            </w:r>
          </w:p>
          <w:p w:rsidR="002A370D" w:rsidRPr="007F4688" w:rsidRDefault="002A370D" w:rsidP="002A370D">
            <w:pPr>
              <w:pStyle w:val="tablebullet2"/>
            </w:pPr>
            <w:r w:rsidRPr="007F4688">
              <w:t>vehicle owner</w:t>
            </w:r>
          </w:p>
          <w:p w:rsidR="002A370D" w:rsidRPr="007F4688" w:rsidRDefault="002A370D" w:rsidP="002A370D">
            <w:pPr>
              <w:pStyle w:val="tablebullet"/>
            </w:pPr>
            <w:r w:rsidRPr="007F4688">
              <w:t>Proof of death (for estate management)</w:t>
            </w:r>
          </w:p>
        </w:tc>
      </w:tr>
    </w:tbl>
    <w:p w:rsidR="002A370D" w:rsidRPr="007F4688" w:rsidRDefault="002A370D" w:rsidP="002A370D">
      <w:r w:rsidRPr="007F4688">
        <w:t>This is to include associated metadata for each attribute such as:</w:t>
      </w:r>
    </w:p>
    <w:p w:rsidR="002A370D" w:rsidRPr="007F4688" w:rsidRDefault="002A370D" w:rsidP="002A370D">
      <w:pPr>
        <w:pStyle w:val="Bullet1"/>
      </w:pPr>
      <w:r w:rsidRPr="007F4688">
        <w:t xml:space="preserve">the number of sources verification is required against </w:t>
      </w:r>
    </w:p>
    <w:p w:rsidR="002A370D" w:rsidRPr="007F4688" w:rsidRDefault="002A370D" w:rsidP="002A370D">
      <w:pPr>
        <w:pStyle w:val="Bullet1"/>
      </w:pPr>
      <w:r w:rsidRPr="007F4688">
        <w:t>the sources deemed trusted/suitable (e.g. an identity document or digital identity provider)</w:t>
      </w:r>
    </w:p>
    <w:p w:rsidR="002A370D" w:rsidRPr="007F4688" w:rsidRDefault="002A370D" w:rsidP="002A370D">
      <w:pPr>
        <w:pStyle w:val="Bullet1"/>
      </w:pPr>
      <w:r w:rsidRPr="007F4688">
        <w:t>rules regarding the currency of the verification (to support reuse of previous verifications)</w:t>
      </w:r>
    </w:p>
    <w:p w:rsidR="002A370D" w:rsidRPr="007F4688" w:rsidRDefault="002A370D" w:rsidP="002A370D">
      <w:r w:rsidRPr="007F4688">
        <w:lastRenderedPageBreak/>
        <w:t>Rules regarding the matching of names or birth dates is required if more than one source is to be utilised. This algorithm would likely be standardised across relying parties unless unsuitable.</w:t>
      </w:r>
    </w:p>
    <w:p w:rsidR="002A370D" w:rsidRPr="007F4688" w:rsidRDefault="002A370D" w:rsidP="002A370D">
      <w:r w:rsidRPr="007F4688">
        <w:t>The US Government National Institute of Standards (NIST) recently released (public draft as of July 2016) an Attribute Metadata schema (NISTIR-8112 related to special publication NIST 800-63-3 e-Authentication Framework) to ‘support cross-organisation confidence in attribute assertions’, as well as the semantics and syntax required to support interoperability. The optional schema outlines 15 metadata elements across nine categories that can be associated with an attribute to allow a relying party to obtain a greater understanding of how the attribute and its value were obtained, determined, and vetted.</w:t>
      </w:r>
    </w:p>
    <w:p w:rsidR="002A370D" w:rsidRPr="007F4688" w:rsidRDefault="002A370D" w:rsidP="002A370D">
      <w:r w:rsidRPr="007F4688">
        <w:t xml:space="preserve">A list of attributes to be verified (as above) and the associated meta data constitutes an access policy. A numbering scheme such as LoA 1, 2 or 3 is not used. </w:t>
      </w:r>
    </w:p>
    <w:p w:rsidR="002A370D" w:rsidRPr="007F4688" w:rsidRDefault="002A370D" w:rsidP="002A370D">
      <w:r w:rsidRPr="007F4688">
        <w:t>The access policy can be specified by the relying party in the authentication request should the requirements vary on an individual basis or if re-authentication is required throughout a process based upon conditional logic. In most cases the policy will be statically assigned against the relying party service in QGov when the service is on boarded. This negates the need for applications to support attribute requests (most third party applications do not).</w:t>
      </w:r>
    </w:p>
    <w:p w:rsidR="002A370D" w:rsidRPr="007F4688" w:rsidRDefault="002A370D" w:rsidP="002A370D">
      <w:r w:rsidRPr="007F4688">
        <w:t>When a customer is required to prove their identity, any existing attribute verifications (deemed suitable against relying party access policy) can be leveraged with the customer’s consent. If a suitable attribute verification is not held, the customer is guided through a process to obtain the required verification. For example, this might involve the customer providing additional identity documentation or signing into a third party portal to prove they hold a particular license. Once the attribute has been verified (proofed) the attribute data (or just the metadata) of the attestation is added to the customer’s profile for later re-use (with their consent).</w:t>
      </w:r>
    </w:p>
    <w:p w:rsidR="002A370D" w:rsidRPr="007F4688" w:rsidRDefault="002A370D" w:rsidP="000A3257">
      <w:pPr>
        <w:pStyle w:val="Heading4"/>
      </w:pPr>
      <w:r w:rsidRPr="007F4688">
        <w:t>Digital Profile</w:t>
      </w:r>
    </w:p>
    <w:p w:rsidR="002A370D" w:rsidRPr="007F4688" w:rsidRDefault="002A370D" w:rsidP="002A370D">
      <w:r w:rsidRPr="007F4688">
        <w:t>A customer’s digital profile represents a ‘ledger’ of attributes that will grow overtime as additional verifications are undertaken. An attribute may be self-asserted or verified against an authoritative source. Data for attribute verifications may be stored within their QGov profile, or only the accompanying metadata (verification history) to allow the value to be obtained from the authoritative source if required. A customer may hold multiple verifications for the same attribute from different authoritative sources e.g. a verified name or address with agency x or jurisdiction y.</w:t>
      </w:r>
    </w:p>
    <w:p w:rsidR="002A370D" w:rsidRPr="007F4688" w:rsidRDefault="002A370D" w:rsidP="002A370D">
      <w:r w:rsidRPr="007F4688">
        <w:t>QGov does not hold a single identity or ‘golden record’ for a customer whereby all information held must meet the same mandatory criteria. Information management is not necessarily about getting all data to the same quality and standard, but rather knowing the quality of the data which enables the information to be reused, shared and trusted (relied upon) for a particular purpose. Attribute metadata provides this transparency and level of trust/confidence in attribute verification which can be strengthened as required commensurate with business risk.</w:t>
      </w:r>
    </w:p>
    <w:p w:rsidR="002A370D" w:rsidRPr="007F4688" w:rsidRDefault="002A370D" w:rsidP="002A370D">
      <w:r w:rsidRPr="007F4688">
        <w:t>The concept of a ‘ledge of attributes’ aligns well with Blockchain models whereby an individual’s verification proofs (attributes) can be stored on a distributed ledger in which each proof is cryptographically signed by the attesting party.</w:t>
      </w:r>
    </w:p>
    <w:p w:rsidR="002A370D" w:rsidRPr="007F4688" w:rsidRDefault="002A370D" w:rsidP="000A3257">
      <w:pPr>
        <w:pStyle w:val="Heading4"/>
      </w:pPr>
      <w:r w:rsidRPr="007F4688">
        <w:t>Identity Provider</w:t>
      </w:r>
    </w:p>
    <w:p w:rsidR="002A370D" w:rsidRPr="007F4688" w:rsidRDefault="002A370D" w:rsidP="002A370D">
      <w:r w:rsidRPr="007F4688">
        <w:t>QGov is still considered a Customer Identity Provider from a Relying Party perspective which as outsourced identity registration (proofing) and credentialing processes. However, QGov itself is broker (conduit) to a number of authoritative sources.</w:t>
      </w:r>
    </w:p>
    <w:p w:rsidR="002A370D" w:rsidRPr="007F4688" w:rsidRDefault="002A370D" w:rsidP="002A370D"/>
    <w:p w:rsidR="002A370D" w:rsidRPr="007F4688" w:rsidRDefault="002A370D" w:rsidP="002A370D">
      <w:r w:rsidRPr="007F4688">
        <w:t xml:space="preserve">It is foreseeable that in some cases a customer may not have an established digital identity (or a digital identity that they wish to utilise) with another digital identity provider (agency customer identity provider, state jurisdiction, the commonwealth or a 3rd party digital identity scheme) and therefore may elect to establish a digital identity with the QLD Government using the QGov service. </w:t>
      </w:r>
    </w:p>
    <w:p w:rsidR="002A370D" w:rsidRPr="007F4688" w:rsidRDefault="002A370D" w:rsidP="002A370D">
      <w:r w:rsidRPr="007F4688">
        <w:t>In line with the progressive proofing approach and privacy principles, the customer still needs only provide the minimum identity information required to complete the transaction with the relying party service. The new identity (or profile) is no different to any other profile which contains one or more verified attributes and therefore can be upgraded as required. There is no pre-determined ‘level’ new customers must achieve.</w:t>
      </w:r>
    </w:p>
    <w:p w:rsidR="002A370D" w:rsidRPr="007F4688" w:rsidRDefault="002A370D" w:rsidP="002A370D">
      <w:r w:rsidRPr="007F4688">
        <w:t>From a design point of view, the same processes used by the identity broker to upgrade identity strength can be reused (a new registration is a profile with no suitable existing attribute verifications and therefore needs to be upgraded to the requisite level).</w:t>
      </w:r>
    </w:p>
    <w:p w:rsidR="002A370D" w:rsidRPr="007F4688" w:rsidRDefault="002A370D" w:rsidP="000A3257">
      <w:pPr>
        <w:pStyle w:val="Heading4"/>
      </w:pPr>
      <w:r w:rsidRPr="007F4688">
        <w:t>Attribute metadata</w:t>
      </w:r>
    </w:p>
    <w:p w:rsidR="002A370D" w:rsidRDefault="002A370D" w:rsidP="002A370D">
      <w:r w:rsidRPr="007F4688">
        <w:t>There are several options to obtain the required attribute metadata from authoritative sources. The authoritative sources can ‘tag’ each attribute with associated metadata if natively supported, otherwise QGov can statically assign metadata against the attributes to maintain compatibility. It is appropriate for the authoritative source to ‘tag’ each attribute particularly where different attributes have been verified to different levels due to process changes or other circumstances i.e. low-doc verifications and attestations.</w:t>
      </w:r>
    </w:p>
    <w:p w:rsidR="000A3257" w:rsidRPr="007F4688" w:rsidRDefault="000A3257" w:rsidP="000A3257">
      <w:pPr>
        <w:pStyle w:val="Heading3"/>
      </w:pPr>
      <w:r w:rsidRPr="007F4688">
        <w:t xml:space="preserve">Customer-controlled data sharing across agencies and third parties </w:t>
      </w:r>
    </w:p>
    <w:p w:rsidR="000A3257" w:rsidRPr="007F4688" w:rsidRDefault="000A3257" w:rsidP="000A3257">
      <w:r w:rsidRPr="007F4688">
        <w:t xml:space="preserve">Customer identity providers such as QGov are uniquely placed to facilitate customer-controlled data sharing across agencies, including third party services. </w:t>
      </w:r>
    </w:p>
    <w:p w:rsidR="000A3257" w:rsidRPr="007F4688" w:rsidRDefault="000A3257" w:rsidP="000A3257">
      <w:r w:rsidRPr="007F4688">
        <w:t>A common situation is where one agency service used by a customer requires information from another agency system on behalf of the customer, or needs to perform an action against another agency system on behalf of the customer. For example:</w:t>
      </w:r>
    </w:p>
    <w:p w:rsidR="000A3257" w:rsidRPr="007F4688" w:rsidRDefault="000A3257" w:rsidP="000A3257">
      <w:pPr>
        <w:pStyle w:val="Bullet1"/>
      </w:pPr>
      <w:r w:rsidRPr="007F4688">
        <w:t>A customer wishing to pre-populate a form with their saved identity profile details stored at their identity provider, which may include verified contact method (email, phone or address etc)</w:t>
      </w:r>
    </w:p>
    <w:p w:rsidR="000A3257" w:rsidRPr="007F4688" w:rsidRDefault="000A3257" w:rsidP="000A3257">
      <w:pPr>
        <w:pStyle w:val="Bullet1"/>
      </w:pPr>
      <w:r w:rsidRPr="007F4688">
        <w:t>A customer wishing to use an existing saved payment method to pay a fee, fine, penalty (a payment authorisation token can be shared, rather than credit card details)</w:t>
      </w:r>
    </w:p>
    <w:p w:rsidR="000A3257" w:rsidRPr="007F4688" w:rsidRDefault="000A3257" w:rsidP="000A3257">
      <w:pPr>
        <w:pStyle w:val="Bullet1"/>
      </w:pPr>
      <w:r w:rsidRPr="007F4688">
        <w:t>A customer wishing to use a valid digital photograph from a previous photographic license issued by another agency, state, territory or the Commonwealth when applying for a new occupational license</w:t>
      </w:r>
    </w:p>
    <w:p w:rsidR="000A3257" w:rsidRPr="007F4688" w:rsidRDefault="000A3257" w:rsidP="000A3257">
      <w:pPr>
        <w:pStyle w:val="Bullet1"/>
      </w:pPr>
      <w:r w:rsidRPr="007F4688">
        <w:t>A customer needing to meet identification requirements by providing Proof of Name, Proof of Age (or range indicator) through a previous identity verification event by another agency, state, territory or the Commonwealth</w:t>
      </w:r>
    </w:p>
    <w:p w:rsidR="000A3257" w:rsidRPr="007F4688" w:rsidRDefault="000A3257" w:rsidP="000A3257">
      <w:pPr>
        <w:pStyle w:val="Bullet1"/>
      </w:pPr>
      <w:r w:rsidRPr="007F4688">
        <w:t>A customer needing to prove service eligibility requirements to a third party when applying for a service such as proof of undertaking a formal training certification at a registered training organisation (RTO), blue card (to work with children), relationship to a business, occupational and proof of last three addresses.</w:t>
      </w:r>
    </w:p>
    <w:p w:rsidR="000A3257" w:rsidRPr="007F4688" w:rsidRDefault="000A3257" w:rsidP="000A3257">
      <w:pPr>
        <w:pStyle w:val="Bullet1"/>
      </w:pPr>
      <w:r w:rsidRPr="007F4688">
        <w:t>A customer using the qld.gov.au ‘MyAccount’ portal which presents consolidated view of their information from other agencies and allows the customer to complete transactions against back-end agency systems e.g. view overdue payments, make payment, view infringement notices, update circumstances, and apply for new services.</w:t>
      </w:r>
    </w:p>
    <w:p w:rsidR="000A3257" w:rsidRPr="007F4688" w:rsidRDefault="000A3257" w:rsidP="000A3257">
      <w:pPr>
        <w:pStyle w:val="Bullet1"/>
      </w:pPr>
      <w:r w:rsidRPr="007F4688">
        <w:lastRenderedPageBreak/>
        <w:t>A customer via an online website chat delegating a customer service agent access to perform a specific function for the next 30 mins on their behalf against a backend agency system. In this case the delegation is for the third party application interface the service agent uses rather the person or organisation itself.</w:t>
      </w:r>
    </w:p>
    <w:p w:rsidR="000A3257" w:rsidRPr="007F4688" w:rsidRDefault="000A3257" w:rsidP="000A3257">
      <w:pPr>
        <w:pStyle w:val="Bullet1"/>
      </w:pPr>
      <w:r w:rsidRPr="007F4688">
        <w:t>Granting an agency access to lodge a subsequent form/request after a particular processing step on their behalf with another agency (i.e. delegate access to the ‘lodge_form’ API function) as part of a joined-up service</w:t>
      </w:r>
    </w:p>
    <w:p w:rsidR="000A3257" w:rsidRPr="007F4688" w:rsidRDefault="000A3257" w:rsidP="000A3257">
      <w:pPr>
        <w:pStyle w:val="Bullet1"/>
      </w:pPr>
      <w:r w:rsidRPr="007F4688">
        <w:t xml:space="preserve">Granting an agency access to their profile information to offer personalised and proactive services, notifications and reminders. </w:t>
      </w:r>
    </w:p>
    <w:p w:rsidR="000A3257" w:rsidRPr="007F4688" w:rsidRDefault="000A3257" w:rsidP="000A3257">
      <w:pPr>
        <w:pStyle w:val="Bullet1"/>
      </w:pPr>
      <w:r w:rsidRPr="007F4688">
        <w:t>A user selectively sharing verified attribute information (or computed indicators) from their digital profile (Government as-an-IdP) with a third party to prove their identity or related attribute e.g. displaying licenses or permits held on a digital wallet with a one-time QR code for the relying party to verify against the authoritative source (via an out-of-band mechanism or using cryptographic controls). Some licenses or qualifications may not be verifiable through public searchable registers. Public registers also upon the relying party strongly authenticating the individual first and may not provide or a mechanism to notify the relying party of substantial changes including revocation.</w:t>
      </w:r>
    </w:p>
    <w:p w:rsidR="000A3257" w:rsidRPr="007F4688" w:rsidRDefault="000A3257" w:rsidP="000A3257">
      <w:pPr>
        <w:pStyle w:val="Bullet1"/>
      </w:pPr>
      <w:r w:rsidRPr="007F4688">
        <w:t>A user granting a consumer mobile application developed by a third party access to their government records/information held with one or more agencies for enhanced functionality</w:t>
      </w:r>
      <w:r>
        <w:t>.</w:t>
      </w:r>
    </w:p>
    <w:p w:rsidR="000A3257" w:rsidRPr="007F4688" w:rsidRDefault="000A3257" w:rsidP="000A3257">
      <w:r w:rsidRPr="007F4688">
        <w:t xml:space="preserve">Customer-controlled data sharing models work on the principle that the customer supplies (referred to as the resource owner) items of data and evidence which is safeguarded by the Identity provider as the custodian. The owner therefore has rights to consent to (and grant) third party access to their resource (information). Customer controlled information may refer to a subset (view) of a client record. </w:t>
      </w:r>
    </w:p>
    <w:p w:rsidR="000A3257" w:rsidRPr="007F4688" w:rsidRDefault="000A3257" w:rsidP="000A3257">
      <w:r w:rsidRPr="007F4688">
        <w:t>Customer-controlled information sharing models which are underpinned by a federated identity model provide a convenient, digital first, transparent and privacy enhancing means for customers to ‘integrate’ government and orchestrate a ‘single view of government’ by choice. This approach is complementary and does not impact any current ‘back-of-house’ sharing of client data between agencies or entities as required for various service delivery purposes or legislative obligations which require government to have a ‘single view of client’ with consent or in some case without express consent.</w:t>
      </w:r>
    </w:p>
    <w:p w:rsidR="000A3257" w:rsidRPr="007F4688" w:rsidRDefault="000A3257" w:rsidP="000A3257">
      <w:r w:rsidRPr="007F4688">
        <w:t xml:space="preserve">Customer identity providers can provide this federated authorisation framework and acts as a mediated ‘control pane’ to facilitate customer access to resources across parties. Delegated authorisation models also support limited access to specific customer records, and a finite set of permissions which is established by the resource owner through explicit consent. Access can be time-based, revocable by the customer (for specific parties only) or renewed and increased as required. Aside from the initial authentication event and authorisation needed to obtain a security token to access the resource, customer identity providers are not involved in subsequent interactions between devices and agency API’s until a new security token is required for additional access or if the access has expired or was revoked. </w:t>
      </w:r>
    </w:p>
    <w:p w:rsidR="000A3257" w:rsidRPr="007F4688" w:rsidRDefault="000A3257" w:rsidP="000A3257">
      <w:r w:rsidRPr="007F4688">
        <w:t>Traditionally sharing customer data across agencies has required the data holding agency to provide ‘carte blanche’ access to all their database records (or copies of the database) by other possible consuming agencies and trust the information will only be used for official purposes. This traditional approach is also not well suited to accommodating third party service providers.</w:t>
      </w:r>
    </w:p>
    <w:p w:rsidR="000A3257" w:rsidRPr="007F4688" w:rsidRDefault="000A3257" w:rsidP="000A3257">
      <w:r w:rsidRPr="007F4688">
        <w:t xml:space="preserve">The examples discussed so far demonstrate delegated authorisation models for ‘person-to-self’ sharing, in which an individual (resource owner) effectively delegates themselves </w:t>
      </w:r>
      <w:r w:rsidRPr="007F4688">
        <w:lastRenderedPageBreak/>
        <w:t>access to their own data when using a third party application that acts on their behalf. Delegating access to another individual (person-to-person) or organisation (person-to-organisation) to act upon their behalf requires significantly more complex delegations and relationships models to be implemented by the IdP (as per Use Case 15).</w:t>
      </w:r>
    </w:p>
    <w:p w:rsidR="000A3257" w:rsidRPr="007F4688" w:rsidRDefault="000A3257" w:rsidP="000A3257">
      <w:r w:rsidRPr="007F4688">
        <w:t>The QGov IdP service supports a ‘person-to-self’ sharing model for customer-controlled access through the use industry standard resource delegation protocols available since 2005. While person-to-self sharing models are straight forward to achieve, they require the customer to be present at time of the access request from the third party to grant or deny access. Delegation models for person-to-person and person-to-organisation sharing require the ability to establish delegations in advance and across channels. Industry standards for party-to-party sharing are still under development and bespoke implementations are required to address the complexity of government requirements (as per Use Case 15).</w:t>
      </w:r>
    </w:p>
    <w:p w:rsidR="000A3257" w:rsidRPr="007F4688" w:rsidRDefault="000A3257" w:rsidP="000A3257">
      <w:r w:rsidRPr="007F4688">
        <w:t>The QGov IdP service itself treats the customer’s central digital profile which stores identity attribute verifications as a resource owned by the customer. This provides a standard means:</w:t>
      </w:r>
    </w:p>
    <w:p w:rsidR="000A3257" w:rsidRPr="007F4688" w:rsidRDefault="000A3257" w:rsidP="000A3257">
      <w:pPr>
        <w:pStyle w:val="Bullet1"/>
      </w:pPr>
      <w:r w:rsidRPr="007F4688">
        <w:t>for the customer to consent to release of their identity attributes to a relying party application, including preference management and revocation</w:t>
      </w:r>
    </w:p>
    <w:p w:rsidR="000A3257" w:rsidRPr="007F4688" w:rsidRDefault="000A3257" w:rsidP="000A3257">
      <w:pPr>
        <w:pStyle w:val="Bullet1"/>
      </w:pPr>
      <w:r w:rsidRPr="007F4688">
        <w:t>the relying party or an authoritative source to maintain the currency of shared attribute information and/or update profile information through ongoing delegated access to the customer profile data (e.g. next 3, 6, 12 months or forever).</w:t>
      </w:r>
    </w:p>
    <w:p w:rsidR="000A3257" w:rsidRPr="007F4688" w:rsidRDefault="000A3257" w:rsidP="000A3257">
      <w:pPr>
        <w:pStyle w:val="Heading3"/>
      </w:pPr>
      <w:r w:rsidRPr="007F4688">
        <w:t>Authoritative sources of truth</w:t>
      </w:r>
    </w:p>
    <w:p w:rsidR="000A3257" w:rsidRPr="007F4688" w:rsidRDefault="000A3257" w:rsidP="000A3257">
      <w:r w:rsidRPr="007F4688">
        <w:t xml:space="preserve">From the perspective of the customer identity provider, authoritative sources are seen as attribute providers (assert the correctness of individual attributes). An identity is a collection of attributes. What constitutes an ‘identity’ (the specific attributes and strength) is determined by the relying party and assembled/brokered by the customer identity provider, often from multiple attribute sources. </w:t>
      </w:r>
    </w:p>
    <w:p w:rsidR="000A3257" w:rsidRPr="007F4688" w:rsidRDefault="000A3257" w:rsidP="000A3257">
      <w:pPr>
        <w:rPr>
          <w:highlight w:val="yellow"/>
        </w:rPr>
      </w:pPr>
      <w:r w:rsidRPr="007F4688">
        <w:t xml:space="preserve">Some authoritative sources such as Government or third party digital identity schemes, are technically digital identity providers due to the integration method used to bring across a subjects verified attributes (an authenticated credential). </w:t>
      </w:r>
    </w:p>
    <w:p w:rsidR="000A3257" w:rsidRPr="007F4688" w:rsidRDefault="000A3257" w:rsidP="000A3257">
      <w:r w:rsidRPr="007F4688">
        <w:t>For more information regarding methods for integrating with authoritative sources of truth see the patterns library - Identity provider integration with authoritative sources of truth.</w:t>
      </w:r>
    </w:p>
    <w:p w:rsidR="000A3257" w:rsidRPr="007F4688" w:rsidRDefault="000A3257" w:rsidP="000A3257">
      <w:r w:rsidRPr="007F4688">
        <w:t>At a minimum, the QGov service requires an integration with the Federal Government Document Verification service (DVS) to support verifying the 12 common identity documents.</w:t>
      </w:r>
    </w:p>
    <w:p w:rsidR="000A3257" w:rsidRPr="007F4688" w:rsidRDefault="000A3257" w:rsidP="000A3257">
      <w:pPr>
        <w:pStyle w:val="Heading3"/>
      </w:pPr>
      <w:r w:rsidRPr="007F4688">
        <w:t>Intelligence, signalling and continuous verification</w:t>
      </w:r>
    </w:p>
    <w:p w:rsidR="000A3257" w:rsidRPr="007F4688" w:rsidRDefault="000A3257" w:rsidP="000A3257">
      <w:r w:rsidRPr="007F4688">
        <w:t>Identity proofing is evolving to become an ongoing risk-based data collection and analysis process that executes throughout the identity life cycle, rather than just the “trust” part of a registration process</w:t>
      </w:r>
      <w:r w:rsidRPr="007F4688">
        <w:endnoteReference w:id="9"/>
      </w:r>
      <w:r w:rsidRPr="007F4688">
        <w:t xml:space="preserve">. </w:t>
      </w:r>
    </w:p>
    <w:p w:rsidR="000A3257" w:rsidRPr="007F4688" w:rsidRDefault="000A3257" w:rsidP="000A3257">
      <w:r w:rsidRPr="007F4688">
        <w:t>At a minimum, metadata associated with a given attribute verification should reflect the validity period (expiry) or date verified to enable a policy decision to be made by the IdP (on the RP’s behalf) or RP itself. For example, an RP may choose to accept an expired Passport document two years post expiry.</w:t>
      </w:r>
    </w:p>
    <w:p w:rsidR="000A3257" w:rsidRPr="007F4688" w:rsidRDefault="000A3257" w:rsidP="000A3257">
      <w:r w:rsidRPr="007F4688">
        <w:t>Integration with authoritative sources needs to provide a means to refresh (re-validate) attribute information periodically and when events of interest take place. This may see:</w:t>
      </w:r>
    </w:p>
    <w:p w:rsidR="000A3257" w:rsidRPr="007F4688" w:rsidRDefault="000A3257" w:rsidP="000A3257">
      <w:pPr>
        <w:pStyle w:val="Bullet1"/>
      </w:pPr>
      <w:r w:rsidRPr="007F4688">
        <w:t>a previous attribute verification updated (e.g. due to a change of name, address, contact information etc.)</w:t>
      </w:r>
    </w:p>
    <w:p w:rsidR="000A3257" w:rsidRPr="007F4688" w:rsidRDefault="000A3257" w:rsidP="000A3257">
      <w:pPr>
        <w:pStyle w:val="Bullet1"/>
      </w:pPr>
      <w:r w:rsidRPr="007F4688">
        <w:lastRenderedPageBreak/>
        <w:t>revocation of a previous attribute verification</w:t>
      </w:r>
    </w:p>
    <w:p w:rsidR="000A3257" w:rsidRPr="007F4688" w:rsidRDefault="000A3257" w:rsidP="000A3257">
      <w:pPr>
        <w:pStyle w:val="Bullet1"/>
      </w:pPr>
      <w:r w:rsidRPr="007F4688">
        <w:t>addition of new attribute verifications undertaken by the claimant which can be shared (e.g. trust elevation events such as in-person verification as part of a subsequent transaction).</w:t>
      </w:r>
    </w:p>
    <w:p w:rsidR="000A3257" w:rsidRPr="00C60820" w:rsidRDefault="000A3257" w:rsidP="000A3257">
      <w:pPr>
        <w:rPr>
          <w:shd w:val="clear" w:color="auto" w:fill="FFFFFF"/>
        </w:rPr>
      </w:pPr>
      <w:r w:rsidRPr="007F4688">
        <w:t>The customer identity provider should also be capable of forwarding on notifications and signals to relying parties who relied up on a verification that may be have revoked or had its metadata changed. Relying party signalling needs to include both contextual ‘run-time’ information surrounding the interactive authentication event and proofing, as well as ‘design-time’ events that occur such as data breaches, fraudulent or suspected fraudulent documents/identities/credentials and other events that impact the strength of identity information or credential which were relied upon.</w:t>
      </w:r>
    </w:p>
    <w:p w:rsidR="000A3257" w:rsidRPr="007F4688" w:rsidRDefault="000A3257" w:rsidP="000A3257">
      <w:pPr>
        <w:pStyle w:val="Heading2"/>
      </w:pPr>
      <w:bookmarkStart w:id="27" w:name="_Toc483475320"/>
      <w:bookmarkStart w:id="28" w:name="_Toc484085298"/>
      <w:r w:rsidRPr="007F4688">
        <w:t>Client identity landscape</w:t>
      </w:r>
      <w:bookmarkEnd w:id="27"/>
      <w:bookmarkEnd w:id="28"/>
    </w:p>
    <w:p w:rsidR="000A3257" w:rsidRPr="007F4688" w:rsidRDefault="000A3257" w:rsidP="000A3257">
      <w:r w:rsidRPr="007F4688">
        <w:t>For more information regarding identifiers, refer to the Decision Framework section 3.6 Record Identifiers.</w:t>
      </w:r>
    </w:p>
    <w:p w:rsidR="000A3257" w:rsidRPr="007F4688" w:rsidRDefault="000A3257" w:rsidP="000A3257">
      <w:r w:rsidRPr="007F4688">
        <w:t>Agency client identity management systems are typically line of business applications which manage client identity data as part of an agencies legislative responsibilities (e.g. TRIALS, ICMS). The type of identities managed will vary significantly based upon agency core business. The client identity lifecycle management functionality and customer facing online service components may be embedded within the line of business application or separated.</w:t>
      </w:r>
    </w:p>
    <w:p w:rsidR="000A3257" w:rsidRPr="007F4688" w:rsidRDefault="000A3257" w:rsidP="000A3257">
      <w:r w:rsidRPr="007F4688">
        <w:t xml:space="preserve">The diagram below depicts an example landscape for agency client identity management systems. </w:t>
      </w:r>
    </w:p>
    <w:p w:rsidR="000A3257" w:rsidRPr="007F4688" w:rsidRDefault="000A3257" w:rsidP="000A3257"/>
    <w:p w:rsidR="000A3257" w:rsidRPr="007F4688" w:rsidRDefault="000A3257" w:rsidP="000A3257">
      <w:r w:rsidRPr="007F4688">
        <w:object w:dxaOrig="8780" w:dyaOrig="7533">
          <v:shape id="_x0000_i1030" type="#_x0000_t75" style="width:437.5pt;height:377.5pt" o:ole="">
            <v:imagedata r:id="rId43" o:title=""/>
          </v:shape>
          <o:OLEObject Type="Embed" ProgID="Visio.Drawing.15" ShapeID="_x0000_i1030" DrawAspect="Content" ObjectID="_1558186736" r:id="rId44"/>
        </w:object>
      </w:r>
    </w:p>
    <w:p w:rsidR="000A3257" w:rsidRPr="007F4688" w:rsidRDefault="000A3257" w:rsidP="000A3257">
      <w:r w:rsidRPr="007F4688">
        <w:t>Agency client identity management systems may be integrated with the following:</w:t>
      </w:r>
    </w:p>
    <w:p w:rsidR="000A3257" w:rsidRPr="007F4688" w:rsidRDefault="000A3257" w:rsidP="000A3257">
      <w:pPr>
        <w:pStyle w:val="Bullet1"/>
      </w:pPr>
      <w:r w:rsidRPr="007F4688">
        <w:t>Customer identity providers:</w:t>
      </w:r>
    </w:p>
    <w:p w:rsidR="000A3257" w:rsidRPr="007F4688" w:rsidRDefault="000A3257" w:rsidP="000A3257">
      <w:pPr>
        <w:pStyle w:val="Bullet2"/>
      </w:pPr>
      <w:r w:rsidRPr="007F4688">
        <w:t>as a Relying Party to support authenticated online access by customers to agency services via a convenient digital credential. Customer facing services typically use client identity information.</w:t>
      </w:r>
    </w:p>
    <w:p w:rsidR="000A3257" w:rsidRPr="007F4688" w:rsidRDefault="000A3257" w:rsidP="000A3257">
      <w:pPr>
        <w:pStyle w:val="Bullet2"/>
      </w:pPr>
      <w:r w:rsidRPr="007F4688">
        <w:t>as an Attribute Provider to support:</w:t>
      </w:r>
    </w:p>
    <w:p w:rsidR="000A3257" w:rsidRPr="007F4688" w:rsidRDefault="000A3257" w:rsidP="000A3257">
      <w:pPr>
        <w:pStyle w:val="Bullet3"/>
      </w:pPr>
      <w:r w:rsidRPr="007F4688">
        <w:t>customers verifying self-asserted attributes against an agency client identity as an authoritative source as part of authentication, EOI or authorization requirements</w:t>
      </w:r>
    </w:p>
    <w:p w:rsidR="000A3257" w:rsidRPr="007F4688" w:rsidRDefault="000A3257" w:rsidP="000A3257">
      <w:pPr>
        <w:pStyle w:val="Bullet3"/>
      </w:pPr>
      <w:r w:rsidRPr="007F4688">
        <w:t>customers obtaining verified attributes from an established agency client identity as an authoritative source to support authentication, EOI or authorization requirements. This supports customer re-use of previous verifications by an agency, which may have occurred through in-person (at-counter) verification or attestation. Communicating metadata as to the strength of agency verifications is key for a relying party to understand re-usability (suitability).</w:t>
      </w:r>
    </w:p>
    <w:p w:rsidR="000A3257" w:rsidRPr="007F4688" w:rsidRDefault="000A3257" w:rsidP="000A3257">
      <w:pPr>
        <w:pStyle w:val="Bullet3"/>
      </w:pPr>
      <w:r w:rsidRPr="007F4688">
        <w:t>customers retrieving verified attributes from a previously established identity or newly registered client identities established in-person (at-counter) with the option to create a digital customer identity.</w:t>
      </w:r>
    </w:p>
    <w:p w:rsidR="000A3257" w:rsidRPr="007F4688" w:rsidRDefault="000A3257" w:rsidP="000A3257">
      <w:pPr>
        <w:pStyle w:val="Bullet1"/>
      </w:pPr>
      <w:r w:rsidRPr="007F4688">
        <w:t>as an Authorization Service to support customer-controlled sharing of customer information across agencies to:</w:t>
      </w:r>
    </w:p>
    <w:p w:rsidR="000A3257" w:rsidRPr="007F4688" w:rsidRDefault="000A3257" w:rsidP="000A3257">
      <w:pPr>
        <w:pStyle w:val="Bullet2"/>
      </w:pPr>
      <w:r w:rsidRPr="007F4688">
        <w:t>share customer information from one agency to another agency via explicit customer consent and orchestration</w:t>
      </w:r>
    </w:p>
    <w:p w:rsidR="000A3257" w:rsidRPr="007F4688" w:rsidRDefault="000A3257" w:rsidP="000A3257">
      <w:pPr>
        <w:pStyle w:val="Bullet2"/>
      </w:pPr>
      <w:r w:rsidRPr="007F4688">
        <w:lastRenderedPageBreak/>
        <w:t>share an attribute with the QGov service as a verification to augment their digital customer profile</w:t>
      </w:r>
    </w:p>
    <w:p w:rsidR="000A3257" w:rsidRPr="007F4688" w:rsidRDefault="000A3257" w:rsidP="000A3257">
      <w:pPr>
        <w:pStyle w:val="Bullet2"/>
      </w:pPr>
      <w:r w:rsidRPr="007F4688">
        <w:t>provide access to API functionality to another agency to complete actions/transactions on the customer’s behalf</w:t>
      </w:r>
    </w:p>
    <w:p w:rsidR="000A3257" w:rsidRPr="007F4688" w:rsidRDefault="000A3257" w:rsidP="000A3257">
      <w:r w:rsidRPr="007F4688">
        <w:t>The three integrations with customer identity providers above require a link to be established between the customer identity and client identity. See the pattern library Linking a Customer Identity to a Client Identity for more information.</w:t>
      </w:r>
    </w:p>
    <w:p w:rsidR="000A3257" w:rsidRPr="007F4688" w:rsidRDefault="000A3257" w:rsidP="000A3257">
      <w:pPr>
        <w:pStyle w:val="Bullet1"/>
      </w:pPr>
      <w:r w:rsidRPr="007F4688">
        <w:t>Other agency Client Identity Management Systems to support backend sharing of client identity information held by one agency that is required by another agency to support:</w:t>
      </w:r>
    </w:p>
    <w:p w:rsidR="000A3257" w:rsidRPr="007F4688" w:rsidRDefault="000A3257" w:rsidP="000A3257">
      <w:pPr>
        <w:pStyle w:val="Bullet2"/>
      </w:pPr>
      <w:r w:rsidRPr="007F4688">
        <w:t>validating attribute information against the authoritative source</w:t>
      </w:r>
    </w:p>
    <w:p w:rsidR="000A3257" w:rsidRPr="007F4688" w:rsidRDefault="000A3257" w:rsidP="000A3257">
      <w:pPr>
        <w:pStyle w:val="Bullet2"/>
      </w:pPr>
      <w:r w:rsidRPr="007F4688">
        <w:t>obtaining (querying) attribute information against the authoritative source</w:t>
      </w:r>
    </w:p>
    <w:p w:rsidR="000A3257" w:rsidRPr="007F4688" w:rsidRDefault="000A3257" w:rsidP="000A3257">
      <w:pPr>
        <w:pStyle w:val="Bullet2"/>
      </w:pPr>
      <w:r w:rsidRPr="007F4688">
        <w:t>facilitating authorization against the authoritative source</w:t>
      </w:r>
    </w:p>
    <w:p w:rsidR="000A3257" w:rsidRPr="007F4688" w:rsidRDefault="000A3257" w:rsidP="000A3257">
      <w:r w:rsidRPr="007F4688">
        <w:t xml:space="preserve">Backend system-to-system sharing of client identity information between agencies may occur on the basis of client consent (obtained by various means/channels e.g. terms and conditions, privacy policies) or be permitted based upon legislation. </w:t>
      </w:r>
    </w:p>
    <w:p w:rsidR="000A3257" w:rsidRPr="007F4688" w:rsidRDefault="000A3257" w:rsidP="000A3257">
      <w:r w:rsidRPr="007F4688">
        <w:t xml:space="preserve">Alternatively sharing of client identity information between agencies can also occur by the customer providing explicit consent through their digital customer identity where the customer identity has been previously linked to both client records. For example, sending a SMS to the customers registered mobile with a code to verify or a mobile app push-to-swipe action. The customer can also authorise API access or functionality to the client information. This option represents a digital-first approach as opposed to paper or verbal acceptance of terms and conditions and polices. </w:t>
      </w:r>
    </w:p>
    <w:p w:rsidR="000A3257" w:rsidRPr="007F4688" w:rsidRDefault="000A3257" w:rsidP="000A3257">
      <w:r w:rsidRPr="007F4688">
        <w:t>The development of interfaces is negotiated on a case-by-case basis between agencies exchanging information as per the QGEA Customer details management policy. Implementation guidance material may be shared through the QGCIO Customer Details Management Group. Agencies should refer to the Federal Government Better Practice Guidelines for Data Matching 2009 developed under the National Identity Security Strategy (NISS) for patterns and practices to support linking and data matching across client identities and records</w:t>
      </w:r>
      <w:r w:rsidR="004E2F2A">
        <w:t>:</w:t>
      </w:r>
    </w:p>
    <w:p w:rsidR="000A3257" w:rsidRPr="007F4688" w:rsidRDefault="000A3257" w:rsidP="000A3257">
      <w:pPr>
        <w:pStyle w:val="Bullet1"/>
      </w:pPr>
      <w:r w:rsidRPr="007F4688">
        <w:t xml:space="preserve">Third party authoritative sources to verify the identity of a client as part of EOI processes. This may include integration with the National Identity Verification Services infrastructure such as the Document Verification Service (DVS) or Facial Verification Service (FVS) or other relevant trust third party sources. </w:t>
      </w:r>
      <w:r w:rsidRPr="007F4688">
        <w:br/>
      </w:r>
      <w:r w:rsidRPr="007F4688">
        <w:br/>
        <w:t xml:space="preserve">At this point there is no immediate need or business case to consolidate individual agency connections to third party authoritative sources through a central aggregator due to the low occurrence and impost of connections. </w:t>
      </w:r>
      <w:r w:rsidRPr="007F4688">
        <w:br/>
      </w:r>
      <w:r w:rsidRPr="007F4688">
        <w:br/>
        <w:t>It is recommended agencies consuming DVS services use a Commonwealth approved implementation via a commercial Gateway Service Provider rather than implement their own integration. The Queensland Government also partakes in decisions to approve DVS Gateway Service Providers.</w:t>
      </w:r>
    </w:p>
    <w:p w:rsidR="000A3257" w:rsidRPr="007F4688" w:rsidRDefault="000A3257" w:rsidP="000A3257">
      <w:pPr>
        <w:pStyle w:val="Bullet1"/>
      </w:pPr>
      <w:r w:rsidRPr="007F4688">
        <w:t xml:space="preserve">Third party entities who rely upon Government information (identities, licenses, permits) for verification. </w:t>
      </w:r>
      <w:r w:rsidRPr="007F4688">
        <w:br/>
      </w:r>
      <w:r w:rsidRPr="007F4688">
        <w:br/>
        <w:t>A typical example is State issued identity documents where BDM are an authoritative source for Birth, Death and Marriage and change of name certificates and TMR for Drivers Licenses.</w:t>
      </w:r>
      <w:r w:rsidRPr="007F4688">
        <w:br/>
      </w:r>
      <w:r w:rsidRPr="007F4688">
        <w:br/>
      </w:r>
      <w:r w:rsidRPr="007F4688">
        <w:lastRenderedPageBreak/>
        <w:t>Another common example for licenses and permits include, online portal or mobile apps for digital verification of licenses e.g. occupational, blue cards etc. For example, the Queensland Family and Child Commission (QFCC) provide a public searchable register of blue card and exemption card holders. In this case the QGov customer identity service could be used to enhance this approach to provide stronger assurances regarding the authentication of the subject, provide real-time notices regarding revocation or other substantial changes as well as verify licenses or permits not possible via public domain registers.</w:t>
      </w:r>
    </w:p>
    <w:p w:rsidR="000A3257" w:rsidRPr="007F4688" w:rsidRDefault="000A3257" w:rsidP="000A3257">
      <w:pPr>
        <w:pStyle w:val="Bullet1"/>
      </w:pPr>
      <w:r w:rsidRPr="007F4688">
        <w:t>Identity Intelligence and singling from other trusted entities within the ecosystem regarding:</w:t>
      </w:r>
    </w:p>
    <w:p w:rsidR="000A3257" w:rsidRPr="007F4688" w:rsidRDefault="000A3257" w:rsidP="000A3257">
      <w:pPr>
        <w:pStyle w:val="Bullet2"/>
      </w:pPr>
      <w:r w:rsidRPr="007F4688">
        <w:t>revoked and expired identity documents/credentials (which can be blacklisted)</w:t>
      </w:r>
    </w:p>
    <w:p w:rsidR="000A3257" w:rsidRPr="007F4688" w:rsidRDefault="000A3257" w:rsidP="000A3257">
      <w:pPr>
        <w:pStyle w:val="Bullet2"/>
      </w:pPr>
      <w:r w:rsidRPr="007F4688">
        <w:t>known fraudulent or suspected fraudulent identity documents/identities/credentials</w:t>
      </w:r>
    </w:p>
    <w:p w:rsidR="002718E0" w:rsidRDefault="000A3257" w:rsidP="000A3257">
      <w:pPr>
        <w:pStyle w:val="Bullet2"/>
      </w:pPr>
      <w:r w:rsidRPr="007F4688">
        <w:t>significant events of interest regarding identities/credentials</w:t>
      </w:r>
    </w:p>
    <w:p w:rsidR="004E2F2A" w:rsidRPr="007F4688" w:rsidRDefault="004E2F2A" w:rsidP="004E2F2A">
      <w:pPr>
        <w:pStyle w:val="Heading2"/>
      </w:pPr>
      <w:bookmarkStart w:id="29" w:name="_Toc483475321"/>
      <w:bookmarkStart w:id="30" w:name="_Toc484085299"/>
      <w:r w:rsidRPr="007F4688">
        <w:t>Staff identity landscape</w:t>
      </w:r>
      <w:bookmarkEnd w:id="29"/>
      <w:bookmarkEnd w:id="30"/>
    </w:p>
    <w:p w:rsidR="004E2F2A" w:rsidRPr="007F4688" w:rsidRDefault="004E2F2A" w:rsidP="004E2F2A">
      <w:pPr>
        <w:pStyle w:val="Heading3"/>
      </w:pPr>
      <w:r w:rsidRPr="007F4688">
        <w:t>Staff identity</w:t>
      </w:r>
    </w:p>
    <w:p w:rsidR="004E2F2A" w:rsidRPr="007F4688" w:rsidRDefault="004E2F2A" w:rsidP="004E2F2A">
      <w:r w:rsidRPr="007F4688">
        <w:t xml:space="preserve">Staff identity management is currently federated. Agencies manage the identities of their respective employees and contractors which are typically established through the employing agencies HR on-boarding processes. </w:t>
      </w:r>
    </w:p>
    <w:p w:rsidR="004E2F2A" w:rsidRPr="007F4688" w:rsidRDefault="004E2F2A" w:rsidP="004E2F2A">
      <w:r w:rsidRPr="007F4688">
        <w:t xml:space="preserve">There is no single identity across Government for staff or contractors. This would require a whole-of-government approach to human resource management and significant investment to cleanse data in existing agency IDM and HR systems. As an example, the business case to establish a single staff identity with another Jurisdiction was sponsored by the Public Service Commission to track movement of staff and contractors between agencies and to/from Government and for authentication to cross-agency applications. </w:t>
      </w:r>
    </w:p>
    <w:p w:rsidR="004E2F2A" w:rsidRPr="007F4688" w:rsidRDefault="004E2F2A" w:rsidP="004E2F2A">
      <w:r w:rsidRPr="007F4688">
        <w:t>This blueprint outlines a federated model to achieve authentication to cross-agency applications. Improving the maturity of agency identity proofing and lifecycle management processes can benefit numerous areas and further enhance cross-agency authentication requirements through improved trust of one another’s staff identities.</w:t>
      </w:r>
    </w:p>
    <w:p w:rsidR="004E2F2A" w:rsidRPr="007F4688" w:rsidRDefault="004E2F2A" w:rsidP="004E2F2A">
      <w:pPr>
        <w:pStyle w:val="Heading3"/>
      </w:pPr>
      <w:r w:rsidRPr="007F4688">
        <w:t>Staff identifiers</w:t>
      </w:r>
    </w:p>
    <w:p w:rsidR="004E2F2A" w:rsidRPr="007F4688" w:rsidRDefault="004E2F2A" w:rsidP="004E2F2A">
      <w:r w:rsidRPr="007F4688">
        <w:t xml:space="preserve">Agencies are required to provide a collision-resistant, unique and persistent primary identifier for each staff/contractor identity represented outside of their local domain for cross-agency requirements (e.g. the NameID or subject identifier claim in federated identity assertions). </w:t>
      </w:r>
    </w:p>
    <w:p w:rsidR="004E2F2A" w:rsidRPr="007F4688" w:rsidRDefault="004E2F2A" w:rsidP="004E2F2A">
      <w:r w:rsidRPr="007F4688">
        <w:t xml:space="preserve">Unique refers to the uniqueness of the identifier key itself, not the need to guarantee an individual has only one unique identity (although this should be the goal). </w:t>
      </w:r>
    </w:p>
    <w:p w:rsidR="004E2F2A" w:rsidRPr="007F4688" w:rsidRDefault="004E2F2A" w:rsidP="004E2F2A">
      <w:pPr>
        <w:pStyle w:val="Heading3"/>
      </w:pPr>
      <w:r w:rsidRPr="007F4688">
        <w:t>Agency staff identity providers</w:t>
      </w:r>
    </w:p>
    <w:p w:rsidR="004E2F2A" w:rsidRPr="007F4688" w:rsidRDefault="004E2F2A" w:rsidP="004E2F2A">
      <w:r w:rsidRPr="007F4688">
        <w:t>The diagram below depicts a typical agency landscape for staff and contractor identity management. This typically includes:</w:t>
      </w:r>
    </w:p>
    <w:p w:rsidR="004E2F2A" w:rsidRPr="007F4688" w:rsidRDefault="004E2F2A" w:rsidP="004E2F2A">
      <w:pPr>
        <w:pStyle w:val="Bullet1"/>
      </w:pPr>
      <w:r w:rsidRPr="007F4688">
        <w:t>Federation with the Queensland Government aggregated staff federation service (QGSFAS) for access to cross agency services</w:t>
      </w:r>
    </w:p>
    <w:p w:rsidR="004E2F2A" w:rsidRPr="007F4688" w:rsidRDefault="004E2F2A" w:rsidP="004E2F2A">
      <w:pPr>
        <w:pStyle w:val="Bullet1"/>
      </w:pPr>
      <w:r w:rsidRPr="007F4688">
        <w:t>Federation with other Staff Identity Providers for cross-agency access (or via QGSFAS)</w:t>
      </w:r>
    </w:p>
    <w:p w:rsidR="004E2F2A" w:rsidRPr="007F4688" w:rsidRDefault="004E2F2A" w:rsidP="004E2F2A">
      <w:pPr>
        <w:pStyle w:val="Bullet1"/>
      </w:pPr>
      <w:r w:rsidRPr="007F4688">
        <w:t>Federation with partners to access partner resources and/or partners access agency resources</w:t>
      </w:r>
    </w:p>
    <w:p w:rsidR="004E2F2A" w:rsidRPr="007F4688" w:rsidRDefault="004E2F2A" w:rsidP="004E2F2A">
      <w:pPr>
        <w:pStyle w:val="Bullet1"/>
      </w:pPr>
      <w:r w:rsidRPr="007F4688">
        <w:t>Remote staff access to agency resources</w:t>
      </w:r>
      <w:r>
        <w:t>.</w:t>
      </w:r>
    </w:p>
    <w:p w:rsidR="004E2F2A" w:rsidRPr="007F4688" w:rsidRDefault="004E2F2A" w:rsidP="004E2F2A">
      <w:r w:rsidRPr="007F4688">
        <w:object w:dxaOrig="12076" w:dyaOrig="6689">
          <v:shape id="_x0000_i1031" type="#_x0000_t75" style="width:442.5pt;height:245pt" o:ole="">
            <v:imagedata r:id="rId45" o:title=""/>
          </v:shape>
          <o:OLEObject Type="Embed" ProgID="Visio.Drawing.15" ShapeID="_x0000_i1031" DrawAspect="Content" ObjectID="_1558186737" r:id="rId46"/>
        </w:object>
      </w:r>
    </w:p>
    <w:p w:rsidR="004E2F2A" w:rsidRPr="007F4688" w:rsidRDefault="004E2F2A" w:rsidP="007B3CDE">
      <w:pPr>
        <w:pStyle w:val="Heading3"/>
      </w:pPr>
      <w:r w:rsidRPr="007F4688">
        <w:t>Aggregated Queensland Government Staff Identity Federation Service</w:t>
      </w:r>
    </w:p>
    <w:p w:rsidR="004E2F2A" w:rsidRPr="007F4688" w:rsidRDefault="004E2F2A" w:rsidP="004E2F2A">
      <w:r w:rsidRPr="007F4688">
        <w:t>Agencies are required to federate their identities with the Queensland Government Staff Federated Authentication Service (QGFAS) to support cross-agency authentication and authentication to whole-of-government resources. This avoids the need for agencies to re-credential another agencies staff and re-prove their identity (wherever possible).</w:t>
      </w:r>
    </w:p>
    <w:p w:rsidR="004E2F2A" w:rsidRPr="007F4688" w:rsidRDefault="004E2F2A" w:rsidP="004E2F2A">
      <w:r w:rsidRPr="007F4688">
        <w:t>The diagram below depicts the Queensland Government Staff Federated Authentication Service (QGSFAS) which provides a consolidated service for authentication of Queensland Government staff for shared services such as:</w:t>
      </w:r>
    </w:p>
    <w:p w:rsidR="004E2F2A" w:rsidRPr="007F4688" w:rsidRDefault="004E2F2A" w:rsidP="007B3CDE">
      <w:pPr>
        <w:pStyle w:val="Bullet1"/>
      </w:pPr>
      <w:r w:rsidRPr="007F4688">
        <w:t>whole-of-government applications e.g. Gov2Gov Intranet, QTenders, QTravel, OSS Persons and Services Directory</w:t>
      </w:r>
    </w:p>
    <w:p w:rsidR="004E2F2A" w:rsidRPr="007F4688" w:rsidRDefault="004E2F2A" w:rsidP="007B3CDE">
      <w:pPr>
        <w:pStyle w:val="Bullet1"/>
      </w:pPr>
      <w:r w:rsidRPr="007F4688">
        <w:t>Cross-agency applications for clusters of agencies e.g. IJIS, QSS Finance, Payroll and HR, Service Desk</w:t>
      </w:r>
    </w:p>
    <w:p w:rsidR="004E2F2A" w:rsidRPr="007F4688" w:rsidRDefault="004E2F2A" w:rsidP="007B3CDE">
      <w:pPr>
        <w:pStyle w:val="Bullet1"/>
      </w:pPr>
      <w:r w:rsidRPr="007F4688">
        <w:t>Service Providers of ICT services for Government buildings</w:t>
      </w:r>
      <w:r w:rsidRPr="007F4688">
        <w:footnoteReference w:id="3"/>
      </w:r>
    </w:p>
    <w:p w:rsidR="004E2F2A" w:rsidRPr="007F4688" w:rsidRDefault="004E2F2A" w:rsidP="007B3CDE">
      <w:pPr>
        <w:pStyle w:val="Bullet1"/>
      </w:pPr>
      <w:r w:rsidRPr="007F4688">
        <w:t>Services Providers of ICT services for shared Government customer service outlets</w:t>
      </w:r>
    </w:p>
    <w:p w:rsidR="004E2F2A" w:rsidRPr="007F4688" w:rsidRDefault="004E2F2A" w:rsidP="007B3CDE">
      <w:pPr>
        <w:pStyle w:val="Bullet1"/>
      </w:pPr>
      <w:r w:rsidRPr="007F4688">
        <w:t>Network Service Providers for Regional Connectivity supporting an ‘access by identity’ model for shared provision of wired and wireless networking.</w:t>
      </w:r>
    </w:p>
    <w:p w:rsidR="004E2F2A" w:rsidRPr="007F4688" w:rsidRDefault="004E2F2A" w:rsidP="004E2F2A">
      <w:r w:rsidRPr="007F4688">
        <w:t>It is proposed the Federated Identity Management (FIM) capability and architectural model established as part of the shared ICT services solution for 1 William St be leveraged (and expanded as the QGSFAS) to support the above requirements.</w:t>
      </w:r>
    </w:p>
    <w:p w:rsidR="004E2F2A" w:rsidRPr="007F4688" w:rsidRDefault="004E2F2A" w:rsidP="004E2F2A"/>
    <w:p w:rsidR="004E2F2A" w:rsidRPr="007F4688" w:rsidRDefault="004E2F2A" w:rsidP="004E2F2A">
      <w:r w:rsidRPr="007F4688">
        <w:object w:dxaOrig="6419" w:dyaOrig="8548">
          <v:shape id="_x0000_i1032" type="#_x0000_t75" style="width:321pt;height:427.5pt" o:ole="">
            <v:imagedata r:id="rId47" o:title=""/>
          </v:shape>
          <o:OLEObject Type="Embed" ProgID="Visio.Drawing.15" ShapeID="_x0000_i1032" DrawAspect="Content" ObjectID="_1558186738" r:id="rId48"/>
        </w:object>
      </w:r>
    </w:p>
    <w:p w:rsidR="004E2F2A" w:rsidRPr="007F4688" w:rsidRDefault="004E2F2A" w:rsidP="004E2F2A">
      <w:r w:rsidRPr="007F4688">
        <w:t>The QGSFAS provides interfaces for:</w:t>
      </w:r>
    </w:p>
    <w:p w:rsidR="004E2F2A" w:rsidRPr="007F4688" w:rsidRDefault="004E2F2A" w:rsidP="007B3CDE">
      <w:pPr>
        <w:pStyle w:val="Bullet1"/>
      </w:pPr>
      <w:r w:rsidRPr="007F4688">
        <w:t>single sign-on (SSO) experiences for claims-ware applications</w:t>
      </w:r>
    </w:p>
    <w:p w:rsidR="004E2F2A" w:rsidRPr="007F4688" w:rsidRDefault="004E2F2A" w:rsidP="007B3CDE">
      <w:pPr>
        <w:pStyle w:val="Bullet1"/>
      </w:pPr>
      <w:r w:rsidRPr="007F4688">
        <w:t xml:space="preserve">reduced sign-on (RSO) experiences for non-claims aware applications via agency username/password credentials </w:t>
      </w:r>
    </w:p>
    <w:p w:rsidR="004E2F2A" w:rsidRPr="007F4688" w:rsidRDefault="004E2F2A" w:rsidP="007B3CDE">
      <w:pPr>
        <w:pStyle w:val="Bullet1"/>
      </w:pPr>
      <w:r w:rsidRPr="007F4688">
        <w:t>attribute query for retrieval of identity attribute data and authorisation information</w:t>
      </w:r>
    </w:p>
    <w:p w:rsidR="004E2F2A" w:rsidRPr="007F4688" w:rsidRDefault="004E2F2A" w:rsidP="007B3CDE">
      <w:pPr>
        <w:pStyle w:val="Bullet1"/>
      </w:pPr>
      <w:r w:rsidRPr="007F4688">
        <w:t>identity orchestration for automated identity provisioning/de-provisioning to target resources.</w:t>
      </w:r>
    </w:p>
    <w:p w:rsidR="004E2F2A" w:rsidRPr="007F4688" w:rsidRDefault="004E2F2A" w:rsidP="004E2F2A">
      <w:r w:rsidRPr="007F4688">
        <w:t>Two modes of integration to QGSFAS for SSO authentication is supported:</w:t>
      </w:r>
    </w:p>
    <w:p w:rsidR="004E2F2A" w:rsidRPr="007F4688" w:rsidRDefault="004E2F2A" w:rsidP="005F1A9E">
      <w:pPr>
        <w:pStyle w:val="Numberlist1"/>
        <w:numPr>
          <w:ilvl w:val="0"/>
          <w:numId w:val="37"/>
        </w:numPr>
        <w:ind w:left="1134" w:hanging="425"/>
      </w:pPr>
      <w:r w:rsidRPr="007F4688">
        <w:t>Federation - for agencies wishing to leverage an existing Staff IdP.</w:t>
      </w:r>
    </w:p>
    <w:p w:rsidR="004E2F2A" w:rsidRPr="007F4688" w:rsidRDefault="004E2F2A" w:rsidP="005F1A9E">
      <w:pPr>
        <w:pStyle w:val="Numberlist1"/>
        <w:numPr>
          <w:ilvl w:val="0"/>
          <w:numId w:val="37"/>
        </w:numPr>
        <w:ind w:left="1134" w:hanging="425"/>
      </w:pPr>
      <w:r w:rsidRPr="007F4688">
        <w:t>Hosted IdP - for agencies who do not have a federation IdP.</w:t>
      </w:r>
    </w:p>
    <w:p w:rsidR="004E2F2A" w:rsidRPr="007F4688" w:rsidRDefault="004E2F2A" w:rsidP="004E2F2A">
      <w:r w:rsidRPr="007F4688">
        <w:t>There is no trade off in functionality or user experience (single sign-on) for either method and both support multiple directories within an agency. A federated model delegates full control of the authentication event to the agency Staff IdP which provides the ability to authenticate staff via other credentials, including multi-factor authentication and apply other access controls. Over 90% of agencies currently have a staff federation IdP capability and interface to QGSFAS in this manner.</w:t>
      </w:r>
    </w:p>
    <w:p w:rsidR="004E2F2A" w:rsidRPr="007F4688" w:rsidRDefault="004E2F2A" w:rsidP="004E2F2A">
      <w:r w:rsidRPr="007F4688">
        <w:t>Agencies are required to integrate using for SSO using a method above, as well as to support attribute query and RSO (not all applications will be claims-aware).</w:t>
      </w:r>
    </w:p>
    <w:p w:rsidR="004E2F2A" w:rsidRPr="007F4688" w:rsidRDefault="004E2F2A" w:rsidP="004E2F2A">
      <w:r w:rsidRPr="007F4688">
        <w:lastRenderedPageBreak/>
        <w:t>The QGSFAS authentication service is internet accessible to support remote and off-net (non-home agency) access to connected services. Any multi-factor authentication controls are to be addressed by Agency Staff IdP’s (this is not possible for non-federated agencies using the hosted IdP option).</w:t>
      </w:r>
    </w:p>
    <w:p w:rsidR="004E2F2A" w:rsidRPr="007F4688" w:rsidRDefault="004E2F2A" w:rsidP="004E2F2A">
      <w:r w:rsidRPr="007F4688">
        <w:t>The QGSFAS service is capable of handling the storage and processing of identity data classified up to IN-CONFIDENCE. QGSFAS provides a technical brokerage platform which has been designed to align to the principles of QGAF Authentication Assurance Level (AAL) 2 to support authenticated access to cross-agency resources classified up to IN-CONFIDENCE. However, it should be noted the rating of AAL 2 is derived from an implicit trust which assumes each agencies identity registration and credential assurance processes for employees and contractors meet a minimum of AAL 2 given those identities also require access to agency IN-CONFIDENCE systems such as email, network drives and line of business systems. Relying party agencies are accountable for information security and still must ensure their identity and credential assurance requirements are met when relying upon processes that have been carried out by other agencies.</w:t>
      </w:r>
    </w:p>
    <w:p w:rsidR="004E2F2A" w:rsidRDefault="004E2F2A" w:rsidP="004E2F2A">
      <w:pPr>
        <w:pStyle w:val="BodyText"/>
      </w:pPr>
      <w:r w:rsidRPr="007F4688">
        <w:t>The scope of the QGSFAS is limited to aggregating internal Queensland government staff identity providers. It is not envisioned to expand to broker federation with partners or customer identity providers</w:t>
      </w:r>
      <w:r w:rsidR="0004327B">
        <w:t>.</w:t>
      </w:r>
      <w:bookmarkStart w:id="31" w:name="_GoBack"/>
      <w:bookmarkEnd w:id="31"/>
    </w:p>
    <w:p w:rsidR="005F1A9E" w:rsidRPr="005F1A9E" w:rsidRDefault="005F1A9E" w:rsidP="005F1A9E">
      <w:pPr>
        <w:pStyle w:val="BodyText"/>
      </w:pPr>
    </w:p>
    <w:p w:rsidR="00AD0A26" w:rsidRDefault="005F1A9E" w:rsidP="00B12183">
      <w:pPr>
        <w:pStyle w:val="Appendix1"/>
      </w:pPr>
      <w:bookmarkStart w:id="32" w:name="_Toc465941961"/>
      <w:bookmarkStart w:id="33" w:name="_Toc483475323"/>
      <w:bookmarkStart w:id="34" w:name="_Toc484085301"/>
      <w:r>
        <w:lastRenderedPageBreak/>
        <w:t>Listing of established identifiers</w:t>
      </w:r>
      <w:bookmarkEnd w:id="32"/>
      <w:bookmarkEnd w:id="33"/>
      <w:bookmarkEnd w:id="34"/>
    </w:p>
    <w:p w:rsidR="00AD0A26" w:rsidRDefault="00AD0A26" w:rsidP="00732CBB">
      <w:pPr>
        <w:pStyle w:val="Appendixlvl2"/>
      </w:pPr>
      <w:r>
        <w:t>Example of second level appendix style</w:t>
      </w:r>
    </w:p>
    <w:p w:rsidR="0047484E" w:rsidRPr="000D0139" w:rsidRDefault="0047484E" w:rsidP="0047484E">
      <w:r w:rsidRPr="000D0139">
        <w:t xml:space="preserve">The table below lists well-known and established identifiers for persons (individuals) and organisation entities. </w:t>
      </w:r>
      <w:r w:rsidRPr="000D0139">
        <w:rPr>
          <w:highlight w:val="yellow"/>
        </w:rPr>
        <w:t>**Example only, not exhaustive**</w:t>
      </w:r>
    </w:p>
    <w:tbl>
      <w:tblPr>
        <w:tblStyle w:val="TableGrid"/>
        <w:tblW w:w="10060" w:type="dxa"/>
        <w:tblLook w:val="04A0" w:firstRow="1" w:lastRow="0" w:firstColumn="1" w:lastColumn="0" w:noHBand="0" w:noVBand="1"/>
      </w:tblPr>
      <w:tblGrid>
        <w:gridCol w:w="1363"/>
        <w:gridCol w:w="1601"/>
        <w:gridCol w:w="1441"/>
        <w:gridCol w:w="1776"/>
        <w:gridCol w:w="1611"/>
        <w:gridCol w:w="2268"/>
      </w:tblGrid>
      <w:tr w:rsidR="0047484E" w:rsidRPr="0047484E" w:rsidTr="00472754">
        <w:trPr>
          <w:trHeight w:val="605"/>
        </w:trPr>
        <w:tc>
          <w:tcPr>
            <w:tcW w:w="1363" w:type="dxa"/>
          </w:tcPr>
          <w:p w:rsidR="0047484E" w:rsidRPr="0047484E" w:rsidRDefault="0047484E" w:rsidP="0047484E">
            <w:pPr>
              <w:ind w:left="0"/>
              <w:rPr>
                <w:rFonts w:cs="Arial"/>
                <w:b/>
                <w:sz w:val="20"/>
              </w:rPr>
            </w:pPr>
            <w:r w:rsidRPr="0047484E">
              <w:rPr>
                <w:rFonts w:cs="Arial"/>
                <w:b/>
                <w:sz w:val="20"/>
              </w:rPr>
              <w:t>Entity</w:t>
            </w:r>
          </w:p>
        </w:tc>
        <w:tc>
          <w:tcPr>
            <w:tcW w:w="1601" w:type="dxa"/>
          </w:tcPr>
          <w:p w:rsidR="0047484E" w:rsidRPr="0047484E" w:rsidRDefault="0047484E" w:rsidP="0047484E">
            <w:pPr>
              <w:ind w:left="0"/>
              <w:rPr>
                <w:rFonts w:cs="Arial"/>
                <w:b/>
                <w:sz w:val="20"/>
              </w:rPr>
            </w:pPr>
            <w:r w:rsidRPr="0047484E">
              <w:rPr>
                <w:rFonts w:cs="Arial"/>
                <w:b/>
                <w:sz w:val="20"/>
              </w:rPr>
              <w:t>Identifiers</w:t>
            </w:r>
          </w:p>
        </w:tc>
        <w:tc>
          <w:tcPr>
            <w:tcW w:w="1441" w:type="dxa"/>
          </w:tcPr>
          <w:p w:rsidR="0047484E" w:rsidRPr="0047484E" w:rsidRDefault="0047484E" w:rsidP="0047484E">
            <w:pPr>
              <w:ind w:left="0"/>
              <w:rPr>
                <w:rFonts w:cs="Arial"/>
                <w:b/>
                <w:sz w:val="20"/>
              </w:rPr>
            </w:pPr>
            <w:r w:rsidRPr="0047484E">
              <w:rPr>
                <w:rFonts w:cs="Arial"/>
                <w:b/>
                <w:sz w:val="20"/>
              </w:rPr>
              <w:t>Issuer</w:t>
            </w:r>
          </w:p>
        </w:tc>
        <w:tc>
          <w:tcPr>
            <w:tcW w:w="1776" w:type="dxa"/>
          </w:tcPr>
          <w:p w:rsidR="0047484E" w:rsidRPr="0047484E" w:rsidRDefault="0047484E" w:rsidP="0047484E">
            <w:pPr>
              <w:ind w:left="0"/>
              <w:rPr>
                <w:rFonts w:cs="Arial"/>
                <w:b/>
                <w:sz w:val="20"/>
              </w:rPr>
            </w:pPr>
            <w:r w:rsidRPr="0047484E">
              <w:rPr>
                <w:rFonts w:cs="Arial"/>
                <w:b/>
                <w:sz w:val="20"/>
              </w:rPr>
              <w:t>Primary domain and use</w:t>
            </w:r>
          </w:p>
        </w:tc>
        <w:tc>
          <w:tcPr>
            <w:tcW w:w="1611" w:type="dxa"/>
          </w:tcPr>
          <w:p w:rsidR="0047484E" w:rsidRPr="0047484E" w:rsidRDefault="0047484E" w:rsidP="0047484E">
            <w:pPr>
              <w:ind w:left="0"/>
              <w:rPr>
                <w:rFonts w:cs="Arial"/>
                <w:b/>
                <w:sz w:val="20"/>
              </w:rPr>
            </w:pPr>
            <w:r w:rsidRPr="0047484E">
              <w:rPr>
                <w:rFonts w:cs="Arial"/>
                <w:b/>
                <w:sz w:val="20"/>
              </w:rPr>
              <w:t>Authority</w:t>
            </w:r>
          </w:p>
        </w:tc>
        <w:tc>
          <w:tcPr>
            <w:tcW w:w="2268" w:type="dxa"/>
          </w:tcPr>
          <w:p w:rsidR="0047484E" w:rsidRPr="0047484E" w:rsidRDefault="0047484E" w:rsidP="0047484E">
            <w:pPr>
              <w:ind w:left="0"/>
              <w:rPr>
                <w:rFonts w:cs="Arial"/>
                <w:b/>
                <w:sz w:val="20"/>
              </w:rPr>
            </w:pPr>
            <w:r w:rsidRPr="0047484E">
              <w:rPr>
                <w:rFonts w:cs="Arial"/>
                <w:b/>
                <w:sz w:val="20"/>
              </w:rPr>
              <w:t>Uniqueness</w:t>
            </w:r>
          </w:p>
        </w:tc>
      </w:tr>
      <w:tr w:rsidR="0047484E" w:rsidRPr="0047484E" w:rsidTr="00472754">
        <w:trPr>
          <w:trHeight w:val="311"/>
        </w:trPr>
        <w:tc>
          <w:tcPr>
            <w:tcW w:w="10060" w:type="dxa"/>
            <w:gridSpan w:val="6"/>
            <w:shd w:val="clear" w:color="auto" w:fill="D9D9D9" w:themeFill="background1" w:themeFillShade="D9"/>
          </w:tcPr>
          <w:p w:rsidR="0047484E" w:rsidRPr="0047484E" w:rsidRDefault="0047484E" w:rsidP="0047484E">
            <w:pPr>
              <w:ind w:left="0"/>
              <w:rPr>
                <w:rFonts w:cs="Arial"/>
                <w:b/>
                <w:sz w:val="20"/>
              </w:rPr>
            </w:pPr>
            <w:r w:rsidRPr="0047484E">
              <w:rPr>
                <w:rFonts w:cs="Arial"/>
                <w:b/>
                <w:sz w:val="20"/>
              </w:rPr>
              <w:t>Persons - Customers</w:t>
            </w:r>
          </w:p>
        </w:tc>
      </w:tr>
      <w:tr w:rsidR="0047484E" w:rsidRPr="0047484E" w:rsidTr="00472754">
        <w:trPr>
          <w:trHeight w:val="311"/>
        </w:trPr>
        <w:tc>
          <w:tcPr>
            <w:tcW w:w="1363" w:type="dxa"/>
            <w:vMerge w:val="restart"/>
          </w:tcPr>
          <w:p w:rsidR="0047484E" w:rsidRPr="0047484E" w:rsidRDefault="0047484E" w:rsidP="0047484E">
            <w:pPr>
              <w:ind w:left="0"/>
              <w:rPr>
                <w:rFonts w:cs="Arial"/>
                <w:sz w:val="20"/>
              </w:rPr>
            </w:pPr>
            <w:r w:rsidRPr="0047484E">
              <w:rPr>
                <w:rFonts w:cs="Arial"/>
                <w:sz w:val="20"/>
              </w:rPr>
              <w:t>Customers</w:t>
            </w:r>
          </w:p>
        </w:tc>
        <w:tc>
          <w:tcPr>
            <w:tcW w:w="1601" w:type="dxa"/>
          </w:tcPr>
          <w:p w:rsidR="0047484E" w:rsidRPr="0047484E" w:rsidRDefault="0047484E" w:rsidP="0047484E">
            <w:pPr>
              <w:ind w:left="0"/>
              <w:rPr>
                <w:rFonts w:cs="Arial"/>
                <w:sz w:val="20"/>
              </w:rPr>
            </w:pPr>
            <w:r w:rsidRPr="0047484E">
              <w:rPr>
                <w:rFonts w:cs="Arial"/>
                <w:sz w:val="20"/>
              </w:rPr>
              <w:t>Queensland Government ID (QID)</w:t>
            </w:r>
          </w:p>
        </w:tc>
        <w:tc>
          <w:tcPr>
            <w:tcW w:w="1441" w:type="dxa"/>
          </w:tcPr>
          <w:p w:rsidR="0047484E" w:rsidRPr="0047484E" w:rsidRDefault="0047484E" w:rsidP="0047484E">
            <w:pPr>
              <w:ind w:left="0"/>
              <w:rPr>
                <w:rFonts w:cs="Arial"/>
                <w:sz w:val="20"/>
              </w:rPr>
            </w:pPr>
            <w:r w:rsidRPr="0047484E">
              <w:rPr>
                <w:rFonts w:cs="Arial"/>
                <w:sz w:val="20"/>
              </w:rPr>
              <w:t>QGCIDM system</w:t>
            </w:r>
          </w:p>
        </w:tc>
        <w:tc>
          <w:tcPr>
            <w:tcW w:w="1776" w:type="dxa"/>
          </w:tcPr>
          <w:p w:rsidR="0047484E" w:rsidRPr="0047484E" w:rsidRDefault="0047484E" w:rsidP="0047484E">
            <w:pPr>
              <w:ind w:left="0"/>
              <w:rPr>
                <w:rFonts w:cs="Arial"/>
                <w:sz w:val="20"/>
              </w:rPr>
            </w:pPr>
            <w:r w:rsidRPr="0047484E">
              <w:rPr>
                <w:rFonts w:cs="Arial"/>
                <w:sz w:val="20"/>
              </w:rPr>
              <w:t>Private identifier used for linking customer IdP to client RP records</w:t>
            </w:r>
          </w:p>
        </w:tc>
        <w:tc>
          <w:tcPr>
            <w:tcW w:w="1611" w:type="dxa"/>
          </w:tcPr>
          <w:p w:rsidR="0047484E" w:rsidRPr="0047484E" w:rsidRDefault="0047484E" w:rsidP="0047484E">
            <w:pPr>
              <w:ind w:left="0"/>
              <w:rPr>
                <w:rFonts w:cs="Arial"/>
                <w:sz w:val="20"/>
              </w:rPr>
            </w:pPr>
            <w:r w:rsidRPr="0047484E">
              <w:rPr>
                <w:rFonts w:cs="Arial"/>
                <w:sz w:val="20"/>
              </w:rPr>
              <w:t>QGCIDM Business Case (CBRC approved)</w:t>
            </w:r>
          </w:p>
        </w:tc>
        <w:tc>
          <w:tcPr>
            <w:tcW w:w="2268" w:type="dxa"/>
          </w:tcPr>
          <w:p w:rsidR="0047484E" w:rsidRPr="0047484E" w:rsidRDefault="0047484E" w:rsidP="0047484E">
            <w:pPr>
              <w:ind w:left="0"/>
              <w:rPr>
                <w:rFonts w:cs="Arial"/>
                <w:sz w:val="20"/>
              </w:rPr>
            </w:pPr>
            <w:r w:rsidRPr="0047484E">
              <w:rPr>
                <w:rFonts w:cs="Arial"/>
                <w:sz w:val="20"/>
              </w:rPr>
              <w:t>Globally unique due to RFC 4122 - A Universally Unique IDentifier (UUID)</w:t>
            </w:r>
          </w:p>
        </w:tc>
      </w:tr>
      <w:tr w:rsidR="0047484E" w:rsidRPr="0047484E" w:rsidTr="00472754">
        <w:trPr>
          <w:trHeight w:val="311"/>
        </w:trPr>
        <w:tc>
          <w:tcPr>
            <w:tcW w:w="1363" w:type="dxa"/>
            <w:vMerge/>
          </w:tcPr>
          <w:p w:rsidR="0047484E" w:rsidRPr="0047484E" w:rsidRDefault="0047484E" w:rsidP="0047484E">
            <w:pPr>
              <w:ind w:left="0"/>
              <w:rPr>
                <w:rFonts w:cs="Arial"/>
                <w:sz w:val="20"/>
              </w:rPr>
            </w:pPr>
          </w:p>
        </w:tc>
        <w:tc>
          <w:tcPr>
            <w:tcW w:w="1601" w:type="dxa"/>
          </w:tcPr>
          <w:p w:rsidR="0047484E" w:rsidRPr="0047484E" w:rsidRDefault="0047484E" w:rsidP="0047484E">
            <w:pPr>
              <w:ind w:left="0"/>
              <w:rPr>
                <w:rFonts w:cs="Arial"/>
                <w:sz w:val="20"/>
              </w:rPr>
            </w:pPr>
            <w:r w:rsidRPr="0047484E">
              <w:rPr>
                <w:rFonts w:cs="Arial"/>
                <w:sz w:val="20"/>
              </w:rPr>
              <w:t>MyGov Identifier</w:t>
            </w:r>
          </w:p>
        </w:tc>
        <w:tc>
          <w:tcPr>
            <w:tcW w:w="1441" w:type="dxa"/>
          </w:tcPr>
          <w:p w:rsidR="0047484E" w:rsidRPr="0047484E" w:rsidRDefault="0047484E" w:rsidP="0047484E">
            <w:pPr>
              <w:ind w:left="0"/>
              <w:rPr>
                <w:rFonts w:cs="Arial"/>
                <w:sz w:val="20"/>
              </w:rPr>
            </w:pPr>
            <w:r w:rsidRPr="0047484E">
              <w:rPr>
                <w:rFonts w:cs="Arial"/>
                <w:sz w:val="20"/>
              </w:rPr>
              <w:t>Federal Government</w:t>
            </w:r>
          </w:p>
        </w:tc>
        <w:tc>
          <w:tcPr>
            <w:tcW w:w="1776" w:type="dxa"/>
          </w:tcPr>
          <w:p w:rsidR="0047484E" w:rsidRPr="0047484E" w:rsidRDefault="0047484E" w:rsidP="0047484E">
            <w:pPr>
              <w:ind w:left="0"/>
              <w:rPr>
                <w:rFonts w:cs="Arial"/>
                <w:sz w:val="20"/>
              </w:rPr>
            </w:pPr>
          </w:p>
        </w:tc>
        <w:tc>
          <w:tcPr>
            <w:tcW w:w="1611" w:type="dxa"/>
          </w:tcPr>
          <w:p w:rsidR="0047484E" w:rsidRPr="0047484E" w:rsidRDefault="0047484E" w:rsidP="0047484E">
            <w:pPr>
              <w:ind w:left="0"/>
              <w:rPr>
                <w:rFonts w:cs="Arial"/>
                <w:sz w:val="20"/>
              </w:rPr>
            </w:pPr>
            <w:r w:rsidRPr="0047484E">
              <w:rPr>
                <w:rFonts w:cs="Arial"/>
                <w:sz w:val="20"/>
              </w:rPr>
              <w:t>Unknown</w:t>
            </w:r>
          </w:p>
        </w:tc>
        <w:tc>
          <w:tcPr>
            <w:tcW w:w="2268" w:type="dxa"/>
          </w:tcPr>
          <w:p w:rsidR="0047484E" w:rsidRPr="0047484E" w:rsidRDefault="0047484E" w:rsidP="0047484E">
            <w:pPr>
              <w:ind w:left="0"/>
              <w:rPr>
                <w:rFonts w:cs="Arial"/>
                <w:sz w:val="20"/>
              </w:rPr>
            </w:pPr>
          </w:p>
        </w:tc>
      </w:tr>
      <w:tr w:rsidR="0047484E" w:rsidRPr="0047484E" w:rsidTr="00472754">
        <w:trPr>
          <w:trHeight w:val="311"/>
        </w:trPr>
        <w:tc>
          <w:tcPr>
            <w:tcW w:w="10060" w:type="dxa"/>
            <w:gridSpan w:val="6"/>
            <w:shd w:val="clear" w:color="auto" w:fill="D9D9D9" w:themeFill="background1" w:themeFillShade="D9"/>
          </w:tcPr>
          <w:p w:rsidR="0047484E" w:rsidRPr="0047484E" w:rsidRDefault="0047484E" w:rsidP="0047484E">
            <w:pPr>
              <w:ind w:left="0"/>
              <w:rPr>
                <w:rFonts w:cs="Arial"/>
                <w:b/>
                <w:sz w:val="20"/>
              </w:rPr>
            </w:pPr>
            <w:r w:rsidRPr="0047484E">
              <w:rPr>
                <w:rFonts w:cs="Arial"/>
                <w:b/>
                <w:sz w:val="20"/>
              </w:rPr>
              <w:t>Persons - Clients</w:t>
            </w:r>
          </w:p>
        </w:tc>
      </w:tr>
      <w:tr w:rsidR="0047484E" w:rsidRPr="0047484E" w:rsidTr="00472754">
        <w:trPr>
          <w:trHeight w:val="311"/>
        </w:trPr>
        <w:tc>
          <w:tcPr>
            <w:tcW w:w="1363" w:type="dxa"/>
            <w:vMerge w:val="restart"/>
          </w:tcPr>
          <w:p w:rsidR="0047484E" w:rsidRPr="0047484E" w:rsidRDefault="0047484E" w:rsidP="0047484E">
            <w:pPr>
              <w:ind w:left="0"/>
              <w:rPr>
                <w:rFonts w:cs="Arial"/>
                <w:sz w:val="20"/>
              </w:rPr>
            </w:pPr>
            <w:r w:rsidRPr="0047484E">
              <w:rPr>
                <w:rFonts w:cs="Arial"/>
                <w:sz w:val="20"/>
              </w:rPr>
              <w:t>Healthcare</w:t>
            </w:r>
          </w:p>
          <w:p w:rsidR="0047484E" w:rsidRPr="0047484E" w:rsidRDefault="0047484E" w:rsidP="0047484E">
            <w:pPr>
              <w:ind w:left="0"/>
              <w:rPr>
                <w:rFonts w:cs="Arial"/>
                <w:sz w:val="20"/>
              </w:rPr>
            </w:pPr>
            <w:r w:rsidRPr="0047484E">
              <w:rPr>
                <w:rFonts w:cs="Arial"/>
                <w:sz w:val="20"/>
              </w:rPr>
              <w:t>Recipients</w:t>
            </w:r>
          </w:p>
        </w:tc>
        <w:tc>
          <w:tcPr>
            <w:tcW w:w="1601" w:type="dxa"/>
          </w:tcPr>
          <w:p w:rsidR="0047484E" w:rsidRPr="0047484E" w:rsidRDefault="0047484E" w:rsidP="0047484E">
            <w:pPr>
              <w:ind w:left="0"/>
              <w:rPr>
                <w:rFonts w:cs="Arial"/>
                <w:sz w:val="20"/>
              </w:rPr>
            </w:pPr>
            <w:r w:rsidRPr="0047484E">
              <w:rPr>
                <w:rFonts w:cs="Arial"/>
                <w:sz w:val="20"/>
              </w:rPr>
              <w:t>Individual Health Care Identifier (IHI)</w:t>
            </w:r>
          </w:p>
        </w:tc>
        <w:tc>
          <w:tcPr>
            <w:tcW w:w="1441" w:type="dxa"/>
          </w:tcPr>
          <w:p w:rsidR="0047484E" w:rsidRPr="0047484E" w:rsidRDefault="0047484E" w:rsidP="0047484E">
            <w:pPr>
              <w:ind w:left="0"/>
              <w:rPr>
                <w:rFonts w:cs="Arial"/>
                <w:sz w:val="20"/>
              </w:rPr>
            </w:pPr>
            <w:r w:rsidRPr="0047484E">
              <w:rPr>
                <w:rFonts w:cs="Arial"/>
                <w:sz w:val="20"/>
              </w:rPr>
              <w:t>Department of Health (Federal)</w:t>
            </w:r>
          </w:p>
        </w:tc>
        <w:tc>
          <w:tcPr>
            <w:tcW w:w="1776" w:type="dxa"/>
          </w:tcPr>
          <w:p w:rsidR="0047484E" w:rsidRPr="0047484E" w:rsidRDefault="0047484E" w:rsidP="0047484E">
            <w:pPr>
              <w:ind w:left="0"/>
              <w:rPr>
                <w:rFonts w:cs="Arial"/>
                <w:sz w:val="20"/>
              </w:rPr>
            </w:pPr>
            <w:r w:rsidRPr="0047484E">
              <w:rPr>
                <w:rFonts w:cs="Arial"/>
                <w:sz w:val="20"/>
              </w:rPr>
              <w:t>For individuals receiving healthcare services</w:t>
            </w:r>
          </w:p>
        </w:tc>
        <w:tc>
          <w:tcPr>
            <w:tcW w:w="1611" w:type="dxa"/>
          </w:tcPr>
          <w:p w:rsidR="0047484E" w:rsidRPr="0047484E" w:rsidRDefault="0047484E" w:rsidP="0047484E">
            <w:pPr>
              <w:ind w:left="0"/>
              <w:rPr>
                <w:rFonts w:cs="Arial"/>
                <w:sz w:val="20"/>
              </w:rPr>
            </w:pPr>
            <w:r w:rsidRPr="0047484E">
              <w:rPr>
                <w:rFonts w:cs="Arial"/>
                <w:sz w:val="20"/>
              </w:rPr>
              <w:t>Healthcare Identifiers Act 2010</w:t>
            </w:r>
          </w:p>
        </w:tc>
        <w:tc>
          <w:tcPr>
            <w:tcW w:w="2268" w:type="dxa"/>
          </w:tcPr>
          <w:p w:rsidR="0047484E" w:rsidRPr="0047484E" w:rsidRDefault="0047484E" w:rsidP="0047484E">
            <w:pPr>
              <w:ind w:left="0"/>
              <w:rPr>
                <w:rFonts w:cs="Arial"/>
                <w:sz w:val="20"/>
              </w:rPr>
            </w:pPr>
          </w:p>
        </w:tc>
      </w:tr>
      <w:tr w:rsidR="0047484E" w:rsidRPr="0047484E" w:rsidTr="00472754">
        <w:trPr>
          <w:trHeight w:val="311"/>
        </w:trPr>
        <w:tc>
          <w:tcPr>
            <w:tcW w:w="1363" w:type="dxa"/>
            <w:vMerge/>
          </w:tcPr>
          <w:p w:rsidR="0047484E" w:rsidRPr="0047484E" w:rsidRDefault="0047484E" w:rsidP="0047484E">
            <w:pPr>
              <w:ind w:left="0"/>
              <w:rPr>
                <w:rFonts w:cs="Arial"/>
                <w:sz w:val="20"/>
              </w:rPr>
            </w:pPr>
          </w:p>
        </w:tc>
        <w:tc>
          <w:tcPr>
            <w:tcW w:w="1601" w:type="dxa"/>
          </w:tcPr>
          <w:p w:rsidR="0047484E" w:rsidRPr="0047484E" w:rsidRDefault="0047484E" w:rsidP="0047484E">
            <w:pPr>
              <w:ind w:left="0"/>
              <w:rPr>
                <w:rFonts w:cs="Arial"/>
                <w:sz w:val="20"/>
              </w:rPr>
            </w:pPr>
            <w:r w:rsidRPr="0047484E">
              <w:rPr>
                <w:rFonts w:cs="Arial"/>
                <w:sz w:val="20"/>
              </w:rPr>
              <w:t>Medicare number</w:t>
            </w:r>
          </w:p>
        </w:tc>
        <w:tc>
          <w:tcPr>
            <w:tcW w:w="1441" w:type="dxa"/>
          </w:tcPr>
          <w:p w:rsidR="0047484E" w:rsidRPr="0047484E" w:rsidRDefault="0047484E" w:rsidP="0047484E">
            <w:pPr>
              <w:ind w:left="0"/>
              <w:rPr>
                <w:rFonts w:cs="Arial"/>
                <w:sz w:val="20"/>
              </w:rPr>
            </w:pPr>
            <w:r w:rsidRPr="0047484E">
              <w:rPr>
                <w:rFonts w:cs="Arial"/>
                <w:sz w:val="20"/>
              </w:rPr>
              <w:t>Department Human Services (Federal)</w:t>
            </w:r>
          </w:p>
        </w:tc>
        <w:tc>
          <w:tcPr>
            <w:tcW w:w="1776" w:type="dxa"/>
          </w:tcPr>
          <w:p w:rsidR="0047484E" w:rsidRPr="0047484E" w:rsidRDefault="0047484E" w:rsidP="0047484E">
            <w:pPr>
              <w:ind w:left="0"/>
              <w:rPr>
                <w:rFonts w:cs="Arial"/>
                <w:sz w:val="20"/>
              </w:rPr>
            </w:pPr>
            <w:r w:rsidRPr="0047484E">
              <w:rPr>
                <w:rFonts w:cs="Arial"/>
                <w:sz w:val="20"/>
              </w:rPr>
              <w:t>Some Australian residents and visitors do not have a Medicare number</w:t>
            </w:r>
          </w:p>
        </w:tc>
        <w:tc>
          <w:tcPr>
            <w:tcW w:w="1611" w:type="dxa"/>
          </w:tcPr>
          <w:p w:rsidR="0047484E" w:rsidRPr="0047484E" w:rsidRDefault="0047484E" w:rsidP="0047484E">
            <w:pPr>
              <w:ind w:left="0"/>
              <w:rPr>
                <w:rFonts w:cs="Arial"/>
                <w:sz w:val="20"/>
              </w:rPr>
            </w:pPr>
            <w:r w:rsidRPr="0047484E">
              <w:rPr>
                <w:rFonts w:cs="Arial"/>
                <w:sz w:val="20"/>
              </w:rPr>
              <w:t>Human Services (Medicare) Act 1973</w:t>
            </w:r>
          </w:p>
        </w:tc>
        <w:tc>
          <w:tcPr>
            <w:tcW w:w="2268" w:type="dxa"/>
          </w:tcPr>
          <w:p w:rsidR="0047484E" w:rsidRPr="0047484E" w:rsidRDefault="0047484E" w:rsidP="0047484E">
            <w:pPr>
              <w:ind w:left="0"/>
              <w:rPr>
                <w:rFonts w:cs="Arial"/>
                <w:sz w:val="20"/>
              </w:rPr>
            </w:pPr>
            <w:r w:rsidRPr="0047484E">
              <w:rPr>
                <w:rFonts w:cs="Arial"/>
                <w:sz w:val="20"/>
              </w:rPr>
              <w:t>Not unique - some people have more than one Medicare number (they are members of more than one family and may be on multiple cards)</w:t>
            </w:r>
          </w:p>
        </w:tc>
      </w:tr>
      <w:tr w:rsidR="0047484E" w:rsidRPr="0047484E" w:rsidTr="00472754">
        <w:trPr>
          <w:trHeight w:val="311"/>
        </w:trPr>
        <w:tc>
          <w:tcPr>
            <w:tcW w:w="1363" w:type="dxa"/>
          </w:tcPr>
          <w:p w:rsidR="0047484E" w:rsidRPr="0047484E" w:rsidRDefault="0047484E" w:rsidP="0047484E">
            <w:pPr>
              <w:ind w:left="0"/>
              <w:rPr>
                <w:rFonts w:cs="Arial"/>
                <w:sz w:val="20"/>
              </w:rPr>
            </w:pPr>
            <w:r w:rsidRPr="0047484E">
              <w:rPr>
                <w:rFonts w:cs="Arial"/>
                <w:sz w:val="20"/>
              </w:rPr>
              <w:t>Students</w:t>
            </w:r>
          </w:p>
        </w:tc>
        <w:tc>
          <w:tcPr>
            <w:tcW w:w="1601" w:type="dxa"/>
          </w:tcPr>
          <w:p w:rsidR="0047484E" w:rsidRPr="0047484E" w:rsidRDefault="0047484E" w:rsidP="0047484E">
            <w:pPr>
              <w:ind w:left="0"/>
              <w:rPr>
                <w:rFonts w:cs="Arial"/>
                <w:sz w:val="20"/>
              </w:rPr>
            </w:pPr>
          </w:p>
        </w:tc>
        <w:tc>
          <w:tcPr>
            <w:tcW w:w="1441" w:type="dxa"/>
          </w:tcPr>
          <w:p w:rsidR="0047484E" w:rsidRPr="0047484E" w:rsidRDefault="0047484E" w:rsidP="0047484E">
            <w:pPr>
              <w:ind w:left="0"/>
              <w:rPr>
                <w:rFonts w:cs="Arial"/>
                <w:sz w:val="20"/>
              </w:rPr>
            </w:pPr>
          </w:p>
        </w:tc>
        <w:tc>
          <w:tcPr>
            <w:tcW w:w="1776" w:type="dxa"/>
          </w:tcPr>
          <w:p w:rsidR="0047484E" w:rsidRPr="0047484E" w:rsidRDefault="0047484E" w:rsidP="0047484E">
            <w:pPr>
              <w:ind w:left="0"/>
              <w:rPr>
                <w:rFonts w:cs="Arial"/>
                <w:sz w:val="20"/>
              </w:rPr>
            </w:pPr>
          </w:p>
        </w:tc>
        <w:tc>
          <w:tcPr>
            <w:tcW w:w="1611" w:type="dxa"/>
          </w:tcPr>
          <w:p w:rsidR="0047484E" w:rsidRPr="0047484E" w:rsidRDefault="0047484E" w:rsidP="0047484E">
            <w:pPr>
              <w:ind w:left="0"/>
              <w:rPr>
                <w:rFonts w:cs="Arial"/>
                <w:sz w:val="20"/>
              </w:rPr>
            </w:pPr>
          </w:p>
        </w:tc>
        <w:tc>
          <w:tcPr>
            <w:tcW w:w="2268" w:type="dxa"/>
          </w:tcPr>
          <w:p w:rsidR="0047484E" w:rsidRPr="0047484E" w:rsidRDefault="0047484E" w:rsidP="0047484E">
            <w:pPr>
              <w:ind w:left="0"/>
              <w:rPr>
                <w:rFonts w:cs="Arial"/>
                <w:sz w:val="20"/>
              </w:rPr>
            </w:pPr>
          </w:p>
        </w:tc>
      </w:tr>
      <w:tr w:rsidR="0047484E" w:rsidRPr="0047484E" w:rsidTr="00472754">
        <w:trPr>
          <w:trHeight w:val="311"/>
        </w:trPr>
        <w:tc>
          <w:tcPr>
            <w:tcW w:w="1363" w:type="dxa"/>
          </w:tcPr>
          <w:p w:rsidR="0047484E" w:rsidRPr="0047484E" w:rsidRDefault="0047484E" w:rsidP="0047484E">
            <w:pPr>
              <w:ind w:left="0"/>
              <w:rPr>
                <w:rFonts w:cs="Arial"/>
                <w:sz w:val="20"/>
              </w:rPr>
            </w:pPr>
            <w:r w:rsidRPr="0047484E">
              <w:rPr>
                <w:rFonts w:cs="Arial"/>
                <w:sz w:val="20"/>
              </w:rPr>
              <w:t>Person of interest?</w:t>
            </w:r>
          </w:p>
        </w:tc>
        <w:tc>
          <w:tcPr>
            <w:tcW w:w="1601" w:type="dxa"/>
          </w:tcPr>
          <w:p w:rsidR="0047484E" w:rsidRPr="0047484E" w:rsidRDefault="0047484E" w:rsidP="0047484E">
            <w:pPr>
              <w:ind w:left="0"/>
              <w:rPr>
                <w:rFonts w:cs="Arial"/>
                <w:sz w:val="20"/>
              </w:rPr>
            </w:pPr>
            <w:r w:rsidRPr="0047484E">
              <w:rPr>
                <w:rFonts w:cs="Arial"/>
                <w:sz w:val="20"/>
              </w:rPr>
              <w:t>Single Person Identifier (SPI)</w:t>
            </w:r>
          </w:p>
        </w:tc>
        <w:tc>
          <w:tcPr>
            <w:tcW w:w="1441" w:type="dxa"/>
          </w:tcPr>
          <w:p w:rsidR="0047484E" w:rsidRPr="0047484E" w:rsidRDefault="0047484E" w:rsidP="0047484E">
            <w:pPr>
              <w:ind w:left="0"/>
              <w:rPr>
                <w:rFonts w:cs="Arial"/>
                <w:sz w:val="20"/>
              </w:rPr>
            </w:pPr>
            <w:r w:rsidRPr="0047484E">
              <w:rPr>
                <w:rFonts w:cs="Arial"/>
                <w:sz w:val="20"/>
              </w:rPr>
              <w:t>QPS/IJIS?</w:t>
            </w:r>
          </w:p>
        </w:tc>
        <w:tc>
          <w:tcPr>
            <w:tcW w:w="1776" w:type="dxa"/>
          </w:tcPr>
          <w:p w:rsidR="0047484E" w:rsidRPr="0047484E" w:rsidRDefault="0047484E" w:rsidP="0047484E">
            <w:pPr>
              <w:ind w:left="0"/>
              <w:rPr>
                <w:rFonts w:cs="Arial"/>
                <w:sz w:val="20"/>
              </w:rPr>
            </w:pPr>
          </w:p>
        </w:tc>
        <w:tc>
          <w:tcPr>
            <w:tcW w:w="1611" w:type="dxa"/>
          </w:tcPr>
          <w:p w:rsidR="0047484E" w:rsidRPr="0047484E" w:rsidRDefault="0047484E" w:rsidP="0047484E">
            <w:pPr>
              <w:ind w:left="0"/>
              <w:rPr>
                <w:rFonts w:cs="Arial"/>
                <w:sz w:val="20"/>
              </w:rPr>
            </w:pPr>
          </w:p>
        </w:tc>
        <w:tc>
          <w:tcPr>
            <w:tcW w:w="2268" w:type="dxa"/>
          </w:tcPr>
          <w:p w:rsidR="0047484E" w:rsidRPr="0047484E" w:rsidRDefault="0047484E" w:rsidP="0047484E">
            <w:pPr>
              <w:ind w:left="0"/>
              <w:rPr>
                <w:rFonts w:cs="Arial"/>
                <w:sz w:val="20"/>
              </w:rPr>
            </w:pPr>
          </w:p>
        </w:tc>
      </w:tr>
      <w:tr w:rsidR="0047484E" w:rsidRPr="0047484E" w:rsidTr="00472754">
        <w:trPr>
          <w:trHeight w:val="311"/>
        </w:trPr>
        <w:tc>
          <w:tcPr>
            <w:tcW w:w="10060" w:type="dxa"/>
            <w:gridSpan w:val="6"/>
            <w:shd w:val="clear" w:color="auto" w:fill="D9D9D9" w:themeFill="background1" w:themeFillShade="D9"/>
          </w:tcPr>
          <w:p w:rsidR="0047484E" w:rsidRPr="0047484E" w:rsidRDefault="0047484E" w:rsidP="0047484E">
            <w:pPr>
              <w:ind w:left="0"/>
              <w:rPr>
                <w:rFonts w:cs="Arial"/>
                <w:b/>
                <w:sz w:val="20"/>
              </w:rPr>
            </w:pPr>
            <w:r w:rsidRPr="0047484E">
              <w:rPr>
                <w:rFonts w:cs="Arial"/>
                <w:b/>
                <w:sz w:val="20"/>
              </w:rPr>
              <w:t>Persons – Staff/Contractors</w:t>
            </w:r>
          </w:p>
        </w:tc>
      </w:tr>
      <w:tr w:rsidR="0047484E" w:rsidRPr="0047484E" w:rsidTr="00472754">
        <w:trPr>
          <w:trHeight w:val="311"/>
        </w:trPr>
        <w:tc>
          <w:tcPr>
            <w:tcW w:w="1363" w:type="dxa"/>
          </w:tcPr>
          <w:p w:rsidR="0047484E" w:rsidRPr="0047484E" w:rsidRDefault="0047484E" w:rsidP="0047484E">
            <w:pPr>
              <w:ind w:left="0"/>
              <w:rPr>
                <w:rFonts w:cs="Arial"/>
                <w:sz w:val="20"/>
              </w:rPr>
            </w:pPr>
            <w:r w:rsidRPr="0047484E">
              <w:rPr>
                <w:rFonts w:cs="Arial"/>
                <w:sz w:val="20"/>
              </w:rPr>
              <w:t>Government Employees</w:t>
            </w:r>
          </w:p>
        </w:tc>
        <w:tc>
          <w:tcPr>
            <w:tcW w:w="1601" w:type="dxa"/>
          </w:tcPr>
          <w:p w:rsidR="0047484E" w:rsidRPr="0047484E" w:rsidRDefault="0047484E" w:rsidP="0047484E">
            <w:pPr>
              <w:ind w:left="0"/>
              <w:rPr>
                <w:rFonts w:cs="Arial"/>
                <w:sz w:val="20"/>
              </w:rPr>
            </w:pPr>
            <w:r w:rsidRPr="0047484E">
              <w:rPr>
                <w:rFonts w:cs="Arial"/>
                <w:sz w:val="20"/>
              </w:rPr>
              <w:t>Email address</w:t>
            </w:r>
          </w:p>
          <w:p w:rsidR="0047484E" w:rsidRPr="0047484E" w:rsidRDefault="0047484E" w:rsidP="0047484E">
            <w:pPr>
              <w:ind w:left="0"/>
              <w:rPr>
                <w:rFonts w:cs="Arial"/>
                <w:sz w:val="20"/>
              </w:rPr>
            </w:pPr>
            <w:r w:rsidRPr="0047484E">
              <w:rPr>
                <w:rFonts w:cs="Arial"/>
                <w:sz w:val="20"/>
              </w:rPr>
              <w:t>Employee Payroll Number (or similar)</w:t>
            </w:r>
          </w:p>
          <w:p w:rsidR="0047484E" w:rsidRPr="0047484E" w:rsidRDefault="0047484E" w:rsidP="0047484E">
            <w:pPr>
              <w:ind w:left="0"/>
              <w:rPr>
                <w:rFonts w:cs="Arial"/>
                <w:sz w:val="20"/>
              </w:rPr>
            </w:pPr>
          </w:p>
        </w:tc>
        <w:tc>
          <w:tcPr>
            <w:tcW w:w="1441" w:type="dxa"/>
          </w:tcPr>
          <w:p w:rsidR="0047484E" w:rsidRPr="0047484E" w:rsidRDefault="0047484E" w:rsidP="0047484E">
            <w:pPr>
              <w:ind w:left="0"/>
              <w:rPr>
                <w:rFonts w:cs="Arial"/>
                <w:sz w:val="20"/>
              </w:rPr>
            </w:pPr>
            <w:r w:rsidRPr="0047484E">
              <w:rPr>
                <w:rFonts w:cs="Arial"/>
                <w:sz w:val="20"/>
              </w:rPr>
              <w:t>Employing agency (typically the appointed payroll provider). Changes with payroll systems.</w:t>
            </w:r>
          </w:p>
        </w:tc>
        <w:tc>
          <w:tcPr>
            <w:tcW w:w="1776" w:type="dxa"/>
          </w:tcPr>
          <w:p w:rsidR="0047484E" w:rsidRPr="0047484E" w:rsidRDefault="0047484E" w:rsidP="0047484E">
            <w:pPr>
              <w:ind w:left="0"/>
              <w:rPr>
                <w:rFonts w:cs="Arial"/>
                <w:sz w:val="20"/>
              </w:rPr>
            </w:pPr>
          </w:p>
        </w:tc>
        <w:tc>
          <w:tcPr>
            <w:tcW w:w="1611" w:type="dxa"/>
          </w:tcPr>
          <w:p w:rsidR="0047484E" w:rsidRPr="0047484E" w:rsidRDefault="0047484E" w:rsidP="0047484E">
            <w:pPr>
              <w:ind w:left="0"/>
              <w:rPr>
                <w:rFonts w:cs="Arial"/>
                <w:sz w:val="20"/>
              </w:rPr>
            </w:pPr>
          </w:p>
        </w:tc>
        <w:tc>
          <w:tcPr>
            <w:tcW w:w="2268" w:type="dxa"/>
          </w:tcPr>
          <w:p w:rsidR="0047484E" w:rsidRPr="0047484E" w:rsidRDefault="0047484E" w:rsidP="0047484E">
            <w:pPr>
              <w:ind w:left="0"/>
              <w:rPr>
                <w:rFonts w:cs="Arial"/>
                <w:sz w:val="20"/>
              </w:rPr>
            </w:pPr>
            <w:r w:rsidRPr="0047484E">
              <w:rPr>
                <w:rFonts w:cs="Arial"/>
                <w:sz w:val="20"/>
              </w:rPr>
              <w:t>Email address guaranteed to be unique due to RFC 822 requirements.</w:t>
            </w:r>
          </w:p>
          <w:p w:rsidR="0047484E" w:rsidRPr="0047484E" w:rsidRDefault="0047484E" w:rsidP="0047484E">
            <w:pPr>
              <w:ind w:left="0"/>
              <w:rPr>
                <w:rFonts w:cs="Arial"/>
                <w:sz w:val="20"/>
              </w:rPr>
            </w:pPr>
            <w:r w:rsidRPr="0047484E">
              <w:rPr>
                <w:rFonts w:cs="Arial"/>
                <w:sz w:val="20"/>
              </w:rPr>
              <w:t>HR or Payroll system/provider numbers guaranteed only with the same domain (may be shared across agencies using the same system/provider)</w:t>
            </w:r>
          </w:p>
        </w:tc>
      </w:tr>
      <w:tr w:rsidR="0047484E" w:rsidRPr="0047484E" w:rsidTr="00472754">
        <w:trPr>
          <w:trHeight w:val="325"/>
        </w:trPr>
        <w:tc>
          <w:tcPr>
            <w:tcW w:w="1363" w:type="dxa"/>
          </w:tcPr>
          <w:p w:rsidR="0047484E" w:rsidRPr="0047484E" w:rsidRDefault="0047484E" w:rsidP="0047484E">
            <w:pPr>
              <w:ind w:left="0"/>
              <w:rPr>
                <w:rFonts w:cs="Arial"/>
                <w:sz w:val="20"/>
              </w:rPr>
            </w:pPr>
            <w:r w:rsidRPr="0047484E">
              <w:rPr>
                <w:rFonts w:cs="Arial"/>
                <w:sz w:val="20"/>
              </w:rPr>
              <w:t>Contractors</w:t>
            </w:r>
          </w:p>
        </w:tc>
        <w:tc>
          <w:tcPr>
            <w:tcW w:w="1601" w:type="dxa"/>
          </w:tcPr>
          <w:p w:rsidR="0047484E" w:rsidRPr="0047484E" w:rsidRDefault="0047484E" w:rsidP="0047484E">
            <w:pPr>
              <w:ind w:left="0"/>
              <w:rPr>
                <w:rFonts w:cs="Arial"/>
                <w:sz w:val="20"/>
              </w:rPr>
            </w:pPr>
            <w:r w:rsidRPr="0047484E">
              <w:rPr>
                <w:rFonts w:cs="Arial"/>
                <w:sz w:val="20"/>
              </w:rPr>
              <w:t>Various</w:t>
            </w:r>
          </w:p>
        </w:tc>
        <w:tc>
          <w:tcPr>
            <w:tcW w:w="1441" w:type="dxa"/>
          </w:tcPr>
          <w:p w:rsidR="0047484E" w:rsidRPr="0047484E" w:rsidRDefault="0047484E" w:rsidP="0047484E">
            <w:pPr>
              <w:ind w:left="0"/>
              <w:rPr>
                <w:rFonts w:cs="Arial"/>
                <w:sz w:val="20"/>
              </w:rPr>
            </w:pPr>
          </w:p>
        </w:tc>
        <w:tc>
          <w:tcPr>
            <w:tcW w:w="1776" w:type="dxa"/>
          </w:tcPr>
          <w:p w:rsidR="0047484E" w:rsidRPr="0047484E" w:rsidRDefault="0047484E" w:rsidP="0047484E">
            <w:pPr>
              <w:ind w:left="0"/>
              <w:rPr>
                <w:rFonts w:cs="Arial"/>
                <w:sz w:val="20"/>
              </w:rPr>
            </w:pPr>
          </w:p>
        </w:tc>
        <w:tc>
          <w:tcPr>
            <w:tcW w:w="1611" w:type="dxa"/>
          </w:tcPr>
          <w:p w:rsidR="0047484E" w:rsidRPr="0047484E" w:rsidRDefault="0047484E" w:rsidP="0047484E">
            <w:pPr>
              <w:ind w:left="0"/>
              <w:rPr>
                <w:rFonts w:cs="Arial"/>
                <w:sz w:val="20"/>
              </w:rPr>
            </w:pPr>
          </w:p>
        </w:tc>
        <w:tc>
          <w:tcPr>
            <w:tcW w:w="2268" w:type="dxa"/>
          </w:tcPr>
          <w:p w:rsidR="0047484E" w:rsidRPr="0047484E" w:rsidRDefault="0047484E" w:rsidP="0047484E">
            <w:pPr>
              <w:ind w:left="0"/>
              <w:rPr>
                <w:rFonts w:cs="Arial"/>
                <w:sz w:val="20"/>
              </w:rPr>
            </w:pPr>
          </w:p>
        </w:tc>
      </w:tr>
      <w:tr w:rsidR="0047484E" w:rsidRPr="0047484E" w:rsidTr="00472754">
        <w:trPr>
          <w:trHeight w:val="249"/>
        </w:trPr>
        <w:tc>
          <w:tcPr>
            <w:tcW w:w="10060" w:type="dxa"/>
            <w:gridSpan w:val="6"/>
            <w:shd w:val="clear" w:color="auto" w:fill="D9D9D9" w:themeFill="background1" w:themeFillShade="D9"/>
          </w:tcPr>
          <w:p w:rsidR="0047484E" w:rsidRPr="0047484E" w:rsidRDefault="0047484E" w:rsidP="0047484E">
            <w:pPr>
              <w:ind w:left="0"/>
              <w:rPr>
                <w:rFonts w:cs="Arial"/>
                <w:b/>
                <w:sz w:val="20"/>
              </w:rPr>
            </w:pPr>
            <w:r w:rsidRPr="0047484E">
              <w:rPr>
                <w:rFonts w:cs="Arial"/>
                <w:b/>
                <w:sz w:val="20"/>
              </w:rPr>
              <w:t>Organisations</w:t>
            </w:r>
          </w:p>
        </w:tc>
      </w:tr>
      <w:tr w:rsidR="0047484E" w:rsidRPr="0047484E" w:rsidTr="00472754">
        <w:tc>
          <w:tcPr>
            <w:tcW w:w="1363" w:type="dxa"/>
          </w:tcPr>
          <w:p w:rsidR="0047484E" w:rsidRPr="0047484E" w:rsidRDefault="0047484E" w:rsidP="0047484E">
            <w:pPr>
              <w:ind w:left="0"/>
              <w:rPr>
                <w:rFonts w:cs="Arial"/>
                <w:sz w:val="20"/>
              </w:rPr>
            </w:pPr>
            <w:r w:rsidRPr="0047484E">
              <w:rPr>
                <w:rFonts w:cs="Arial"/>
                <w:sz w:val="20"/>
              </w:rPr>
              <w:lastRenderedPageBreak/>
              <w:t>Australian Business</w:t>
            </w:r>
          </w:p>
        </w:tc>
        <w:tc>
          <w:tcPr>
            <w:tcW w:w="1601" w:type="dxa"/>
          </w:tcPr>
          <w:p w:rsidR="0047484E" w:rsidRPr="0047484E" w:rsidRDefault="0047484E" w:rsidP="0047484E">
            <w:pPr>
              <w:ind w:left="0"/>
              <w:rPr>
                <w:rFonts w:cs="Arial"/>
                <w:sz w:val="20"/>
              </w:rPr>
            </w:pPr>
            <w:r w:rsidRPr="0047484E">
              <w:rPr>
                <w:rFonts w:cs="Arial"/>
                <w:sz w:val="20"/>
              </w:rPr>
              <w:t>Australian Business Number (ABN)</w:t>
            </w:r>
          </w:p>
        </w:tc>
        <w:tc>
          <w:tcPr>
            <w:tcW w:w="1441" w:type="dxa"/>
          </w:tcPr>
          <w:p w:rsidR="0047484E" w:rsidRPr="0047484E" w:rsidRDefault="0047484E" w:rsidP="0047484E">
            <w:pPr>
              <w:ind w:left="0"/>
              <w:rPr>
                <w:rFonts w:cs="Arial"/>
                <w:sz w:val="20"/>
              </w:rPr>
            </w:pPr>
            <w:r w:rsidRPr="0047484E">
              <w:rPr>
                <w:rFonts w:cs="Arial"/>
                <w:sz w:val="20"/>
              </w:rPr>
              <w:t>Australian Taxation Office (ATO)</w:t>
            </w:r>
          </w:p>
        </w:tc>
        <w:tc>
          <w:tcPr>
            <w:tcW w:w="1776" w:type="dxa"/>
          </w:tcPr>
          <w:p w:rsidR="0047484E" w:rsidRPr="0047484E" w:rsidRDefault="0047484E" w:rsidP="0047484E">
            <w:pPr>
              <w:ind w:left="0"/>
              <w:rPr>
                <w:rFonts w:cs="Arial"/>
                <w:sz w:val="20"/>
              </w:rPr>
            </w:pPr>
            <w:r w:rsidRPr="0047484E">
              <w:rPr>
                <w:rFonts w:cs="Arial"/>
                <w:sz w:val="20"/>
              </w:rPr>
              <w:t>For registered business in Australia</w:t>
            </w:r>
          </w:p>
          <w:p w:rsidR="0047484E" w:rsidRPr="0047484E" w:rsidRDefault="0047484E" w:rsidP="0047484E">
            <w:pPr>
              <w:ind w:left="0"/>
              <w:rPr>
                <w:rFonts w:cs="Arial"/>
                <w:sz w:val="20"/>
              </w:rPr>
            </w:pPr>
          </w:p>
        </w:tc>
        <w:tc>
          <w:tcPr>
            <w:tcW w:w="1611" w:type="dxa"/>
          </w:tcPr>
          <w:p w:rsidR="0047484E" w:rsidRPr="0047484E" w:rsidRDefault="0047484E" w:rsidP="0047484E">
            <w:pPr>
              <w:ind w:left="0"/>
              <w:rPr>
                <w:rFonts w:cs="Arial"/>
                <w:sz w:val="20"/>
              </w:rPr>
            </w:pPr>
            <w:r w:rsidRPr="0047484E">
              <w:rPr>
                <w:rFonts w:cs="Arial"/>
                <w:sz w:val="20"/>
              </w:rPr>
              <w:t>A New Tax System (Australian Business Number) Act 1999</w:t>
            </w:r>
          </w:p>
        </w:tc>
        <w:tc>
          <w:tcPr>
            <w:tcW w:w="2268" w:type="dxa"/>
          </w:tcPr>
          <w:p w:rsidR="0047484E" w:rsidRPr="0047484E" w:rsidRDefault="0047484E" w:rsidP="0047484E">
            <w:pPr>
              <w:ind w:left="0"/>
              <w:rPr>
                <w:rFonts w:cs="Arial"/>
                <w:sz w:val="20"/>
              </w:rPr>
            </w:pPr>
            <w:r w:rsidRPr="0047484E">
              <w:rPr>
                <w:rFonts w:cs="Arial"/>
                <w:sz w:val="20"/>
              </w:rPr>
              <w:t>Unique - no two bodies can have the same ABN.</w:t>
            </w:r>
          </w:p>
        </w:tc>
      </w:tr>
      <w:tr w:rsidR="0047484E" w:rsidRPr="0047484E" w:rsidTr="00472754">
        <w:tc>
          <w:tcPr>
            <w:tcW w:w="1363" w:type="dxa"/>
          </w:tcPr>
          <w:p w:rsidR="0047484E" w:rsidRPr="0047484E" w:rsidRDefault="0047484E" w:rsidP="0047484E">
            <w:pPr>
              <w:ind w:left="0"/>
              <w:rPr>
                <w:rFonts w:cs="Arial"/>
                <w:sz w:val="20"/>
              </w:rPr>
            </w:pPr>
            <w:r w:rsidRPr="0047484E">
              <w:rPr>
                <w:rFonts w:cs="Arial"/>
                <w:sz w:val="20"/>
              </w:rPr>
              <w:t>Australian Company</w:t>
            </w:r>
          </w:p>
        </w:tc>
        <w:tc>
          <w:tcPr>
            <w:tcW w:w="1601" w:type="dxa"/>
          </w:tcPr>
          <w:p w:rsidR="0047484E" w:rsidRPr="0047484E" w:rsidRDefault="0047484E" w:rsidP="0047484E">
            <w:pPr>
              <w:ind w:left="0"/>
              <w:rPr>
                <w:rFonts w:cs="Arial"/>
                <w:sz w:val="20"/>
              </w:rPr>
            </w:pPr>
            <w:r w:rsidRPr="0047484E">
              <w:rPr>
                <w:rFonts w:cs="Arial"/>
                <w:sz w:val="20"/>
              </w:rPr>
              <w:t>Australian Company Number (ACN)</w:t>
            </w:r>
          </w:p>
          <w:p w:rsidR="0047484E" w:rsidRPr="0047484E" w:rsidRDefault="0047484E" w:rsidP="0047484E">
            <w:pPr>
              <w:ind w:left="0"/>
              <w:rPr>
                <w:rFonts w:cs="Arial"/>
                <w:sz w:val="20"/>
              </w:rPr>
            </w:pPr>
            <w:r w:rsidRPr="0047484E">
              <w:rPr>
                <w:rFonts w:cs="Arial"/>
                <w:sz w:val="20"/>
              </w:rPr>
              <w:t>(Note: An ABN may be used in place of an ACN)</w:t>
            </w:r>
          </w:p>
        </w:tc>
        <w:tc>
          <w:tcPr>
            <w:tcW w:w="1441" w:type="dxa"/>
          </w:tcPr>
          <w:p w:rsidR="0047484E" w:rsidRPr="0047484E" w:rsidRDefault="0047484E" w:rsidP="0047484E">
            <w:pPr>
              <w:ind w:left="0"/>
              <w:rPr>
                <w:rFonts w:cs="Arial"/>
                <w:sz w:val="20"/>
              </w:rPr>
            </w:pPr>
            <w:r w:rsidRPr="0047484E">
              <w:rPr>
                <w:rFonts w:cs="Arial"/>
                <w:sz w:val="20"/>
              </w:rPr>
              <w:t>Australian Securities and Investments Commission (ASIC)</w:t>
            </w:r>
          </w:p>
        </w:tc>
        <w:tc>
          <w:tcPr>
            <w:tcW w:w="1776" w:type="dxa"/>
          </w:tcPr>
          <w:p w:rsidR="0047484E" w:rsidRPr="0047484E" w:rsidRDefault="0047484E" w:rsidP="0047484E">
            <w:pPr>
              <w:ind w:left="0"/>
              <w:rPr>
                <w:rFonts w:cs="Arial"/>
                <w:sz w:val="20"/>
              </w:rPr>
            </w:pPr>
            <w:r w:rsidRPr="0047484E">
              <w:rPr>
                <w:rFonts w:cs="Arial"/>
                <w:sz w:val="20"/>
              </w:rPr>
              <w:t>For registered companies in Australia</w:t>
            </w:r>
          </w:p>
        </w:tc>
        <w:tc>
          <w:tcPr>
            <w:tcW w:w="1611" w:type="dxa"/>
          </w:tcPr>
          <w:p w:rsidR="0047484E" w:rsidRPr="0047484E" w:rsidRDefault="0047484E" w:rsidP="0047484E">
            <w:pPr>
              <w:ind w:left="0"/>
              <w:rPr>
                <w:rFonts w:cs="Arial"/>
                <w:sz w:val="20"/>
              </w:rPr>
            </w:pPr>
            <w:r w:rsidRPr="0047484E">
              <w:rPr>
                <w:rFonts w:cs="Arial"/>
                <w:sz w:val="20"/>
              </w:rPr>
              <w:t>Corporations Act 2001</w:t>
            </w:r>
          </w:p>
        </w:tc>
        <w:tc>
          <w:tcPr>
            <w:tcW w:w="2268" w:type="dxa"/>
          </w:tcPr>
          <w:p w:rsidR="0047484E" w:rsidRPr="0047484E" w:rsidRDefault="0047484E" w:rsidP="0047484E">
            <w:pPr>
              <w:ind w:left="0"/>
              <w:rPr>
                <w:rFonts w:cs="Arial"/>
                <w:sz w:val="20"/>
              </w:rPr>
            </w:pPr>
            <w:r w:rsidRPr="0047484E">
              <w:rPr>
                <w:rFonts w:cs="Arial"/>
                <w:sz w:val="20"/>
              </w:rPr>
              <w:t>Unique - no two bodies can have the same ACN.</w:t>
            </w:r>
          </w:p>
        </w:tc>
      </w:tr>
      <w:tr w:rsidR="0047484E" w:rsidRPr="0047484E" w:rsidTr="00472754">
        <w:tc>
          <w:tcPr>
            <w:tcW w:w="1363" w:type="dxa"/>
          </w:tcPr>
          <w:p w:rsidR="0047484E" w:rsidRPr="0047484E" w:rsidRDefault="0047484E" w:rsidP="0047484E">
            <w:pPr>
              <w:ind w:left="0"/>
              <w:rPr>
                <w:rFonts w:cs="Arial"/>
                <w:sz w:val="20"/>
              </w:rPr>
            </w:pPr>
            <w:r w:rsidRPr="0047484E">
              <w:rPr>
                <w:rFonts w:cs="Arial"/>
                <w:sz w:val="20"/>
              </w:rPr>
              <w:t>Foreign Company</w:t>
            </w:r>
          </w:p>
        </w:tc>
        <w:tc>
          <w:tcPr>
            <w:tcW w:w="1601" w:type="dxa"/>
          </w:tcPr>
          <w:p w:rsidR="0047484E" w:rsidRPr="0047484E" w:rsidRDefault="0047484E" w:rsidP="0047484E">
            <w:pPr>
              <w:ind w:left="0"/>
              <w:rPr>
                <w:rFonts w:cs="Arial"/>
                <w:sz w:val="20"/>
              </w:rPr>
            </w:pPr>
            <w:r w:rsidRPr="0047484E">
              <w:rPr>
                <w:rFonts w:cs="Arial"/>
                <w:sz w:val="20"/>
              </w:rPr>
              <w:t>ARBN (Australian Registered Body Number)</w:t>
            </w:r>
          </w:p>
        </w:tc>
        <w:tc>
          <w:tcPr>
            <w:tcW w:w="1441" w:type="dxa"/>
          </w:tcPr>
          <w:p w:rsidR="0047484E" w:rsidRPr="0047484E" w:rsidRDefault="0047484E" w:rsidP="0047484E">
            <w:pPr>
              <w:ind w:left="0"/>
              <w:rPr>
                <w:rFonts w:cs="Arial"/>
                <w:sz w:val="20"/>
              </w:rPr>
            </w:pPr>
            <w:r w:rsidRPr="0047484E">
              <w:rPr>
                <w:rFonts w:cs="Arial"/>
                <w:sz w:val="20"/>
              </w:rPr>
              <w:t>Australian Securities and Investments Commission (ASIC)</w:t>
            </w:r>
          </w:p>
        </w:tc>
        <w:tc>
          <w:tcPr>
            <w:tcW w:w="1776" w:type="dxa"/>
          </w:tcPr>
          <w:p w:rsidR="0047484E" w:rsidRPr="0047484E" w:rsidRDefault="0047484E" w:rsidP="0047484E">
            <w:pPr>
              <w:ind w:left="0"/>
              <w:rPr>
                <w:rFonts w:cs="Arial"/>
                <w:sz w:val="20"/>
              </w:rPr>
            </w:pPr>
            <w:r w:rsidRPr="0047484E">
              <w:rPr>
                <w:rFonts w:cs="Arial"/>
                <w:sz w:val="20"/>
              </w:rPr>
              <w:t>For registrable Australian bodies and foreign companies</w:t>
            </w:r>
          </w:p>
        </w:tc>
        <w:tc>
          <w:tcPr>
            <w:tcW w:w="1611" w:type="dxa"/>
          </w:tcPr>
          <w:p w:rsidR="0047484E" w:rsidRPr="0047484E" w:rsidRDefault="0047484E" w:rsidP="0047484E">
            <w:pPr>
              <w:ind w:left="0"/>
              <w:rPr>
                <w:rFonts w:cs="Arial"/>
                <w:sz w:val="20"/>
              </w:rPr>
            </w:pPr>
            <w:r w:rsidRPr="0047484E">
              <w:rPr>
                <w:rFonts w:cs="Arial"/>
                <w:sz w:val="20"/>
              </w:rPr>
              <w:t>Corporations Act 2001</w:t>
            </w:r>
          </w:p>
        </w:tc>
        <w:tc>
          <w:tcPr>
            <w:tcW w:w="2268" w:type="dxa"/>
          </w:tcPr>
          <w:p w:rsidR="0047484E" w:rsidRPr="0047484E" w:rsidRDefault="0047484E" w:rsidP="0047484E">
            <w:pPr>
              <w:ind w:left="0"/>
              <w:rPr>
                <w:rFonts w:cs="Arial"/>
                <w:sz w:val="20"/>
              </w:rPr>
            </w:pPr>
            <w:r w:rsidRPr="0047484E">
              <w:rPr>
                <w:rFonts w:cs="Arial"/>
                <w:sz w:val="20"/>
              </w:rPr>
              <w:t>Unique - no two bodies can have the same ARBN.</w:t>
            </w:r>
          </w:p>
        </w:tc>
      </w:tr>
      <w:tr w:rsidR="0047484E" w:rsidRPr="0047484E" w:rsidTr="00472754">
        <w:tc>
          <w:tcPr>
            <w:tcW w:w="1363" w:type="dxa"/>
          </w:tcPr>
          <w:p w:rsidR="0047484E" w:rsidRPr="0047484E" w:rsidRDefault="0047484E" w:rsidP="0047484E">
            <w:pPr>
              <w:ind w:left="0"/>
              <w:rPr>
                <w:rFonts w:cs="Arial"/>
                <w:sz w:val="20"/>
              </w:rPr>
            </w:pPr>
            <w:r w:rsidRPr="0047484E">
              <w:rPr>
                <w:rFonts w:cs="Arial"/>
                <w:sz w:val="20"/>
              </w:rPr>
              <w:t>Healthcare Organisation</w:t>
            </w:r>
          </w:p>
        </w:tc>
        <w:tc>
          <w:tcPr>
            <w:tcW w:w="1601" w:type="dxa"/>
          </w:tcPr>
          <w:p w:rsidR="0047484E" w:rsidRPr="0047484E" w:rsidRDefault="0047484E" w:rsidP="0047484E">
            <w:pPr>
              <w:ind w:left="0"/>
              <w:rPr>
                <w:rFonts w:cs="Arial"/>
                <w:sz w:val="20"/>
              </w:rPr>
            </w:pPr>
            <w:r w:rsidRPr="0047484E">
              <w:rPr>
                <w:rFonts w:cs="Arial"/>
                <w:sz w:val="20"/>
              </w:rPr>
              <w:t>Healthcare Provider Identifier – Organisation (HPI-O)</w:t>
            </w:r>
          </w:p>
        </w:tc>
        <w:tc>
          <w:tcPr>
            <w:tcW w:w="1441" w:type="dxa"/>
          </w:tcPr>
          <w:p w:rsidR="0047484E" w:rsidRPr="0047484E" w:rsidRDefault="0047484E" w:rsidP="0047484E">
            <w:pPr>
              <w:ind w:left="0"/>
              <w:rPr>
                <w:rFonts w:cs="Arial"/>
                <w:sz w:val="20"/>
              </w:rPr>
            </w:pPr>
            <w:r w:rsidRPr="0047484E">
              <w:rPr>
                <w:rFonts w:cs="Arial"/>
                <w:sz w:val="20"/>
              </w:rPr>
              <w:t>Department of Health (Federal)</w:t>
            </w:r>
          </w:p>
        </w:tc>
        <w:tc>
          <w:tcPr>
            <w:tcW w:w="1776" w:type="dxa"/>
          </w:tcPr>
          <w:p w:rsidR="0047484E" w:rsidRPr="0047484E" w:rsidRDefault="0047484E" w:rsidP="0047484E">
            <w:pPr>
              <w:ind w:left="0"/>
              <w:rPr>
                <w:rFonts w:cs="Arial"/>
                <w:sz w:val="20"/>
              </w:rPr>
            </w:pPr>
            <w:r w:rsidRPr="0047484E">
              <w:rPr>
                <w:rFonts w:cs="Arial"/>
                <w:sz w:val="20"/>
              </w:rPr>
              <w:t>For organisations that deliver healthcare (such as hospitals or general practices)</w:t>
            </w:r>
          </w:p>
        </w:tc>
        <w:tc>
          <w:tcPr>
            <w:tcW w:w="1611" w:type="dxa"/>
          </w:tcPr>
          <w:p w:rsidR="0047484E" w:rsidRPr="0047484E" w:rsidRDefault="0047484E" w:rsidP="0047484E">
            <w:pPr>
              <w:ind w:left="0"/>
              <w:rPr>
                <w:rFonts w:cs="Arial"/>
                <w:sz w:val="20"/>
              </w:rPr>
            </w:pPr>
            <w:r w:rsidRPr="0047484E">
              <w:rPr>
                <w:rFonts w:cs="Arial"/>
                <w:sz w:val="20"/>
              </w:rPr>
              <w:t>Healthcare Identifiers Act 2010</w:t>
            </w:r>
          </w:p>
        </w:tc>
        <w:tc>
          <w:tcPr>
            <w:tcW w:w="2268" w:type="dxa"/>
          </w:tcPr>
          <w:p w:rsidR="0047484E" w:rsidRPr="0047484E" w:rsidRDefault="0047484E" w:rsidP="0047484E">
            <w:pPr>
              <w:ind w:left="0"/>
              <w:rPr>
                <w:rFonts w:cs="Arial"/>
                <w:sz w:val="20"/>
              </w:rPr>
            </w:pPr>
            <w:r w:rsidRPr="0047484E">
              <w:rPr>
                <w:rFonts w:cs="Arial"/>
                <w:sz w:val="20"/>
              </w:rPr>
              <w:t>Unique</w:t>
            </w:r>
          </w:p>
        </w:tc>
      </w:tr>
    </w:tbl>
    <w:p w:rsidR="0047484E" w:rsidRPr="000D0139" w:rsidRDefault="0047484E" w:rsidP="0047484E">
      <w:pPr>
        <w:pStyle w:val="Appendix"/>
      </w:pPr>
      <w:bookmarkStart w:id="35" w:name="_Toc465941962"/>
      <w:bookmarkStart w:id="36" w:name="_Toc483475324"/>
      <w:bookmarkStart w:id="37" w:name="_Toc484085302"/>
      <w:r w:rsidRPr="000D0139">
        <w:lastRenderedPageBreak/>
        <w:t>Listing of Identity, Credential and Attribute Providers</w:t>
      </w:r>
      <w:bookmarkEnd w:id="35"/>
      <w:bookmarkEnd w:id="36"/>
      <w:bookmarkEnd w:id="37"/>
    </w:p>
    <w:p w:rsidR="0047484E" w:rsidRPr="000D0139" w:rsidRDefault="0047484E" w:rsidP="0047484E">
      <w:r w:rsidRPr="000D0139">
        <w:t xml:space="preserve">The table below provides a listing of well-known Identity Providers within and outside of Queensland Government. </w:t>
      </w:r>
      <w:r w:rsidRPr="000D0139">
        <w:rPr>
          <w:highlight w:val="yellow"/>
        </w:rPr>
        <w:t>**Example only, not exhaustive**</w:t>
      </w:r>
    </w:p>
    <w:tbl>
      <w:tblPr>
        <w:tblStyle w:val="TableGrid"/>
        <w:tblW w:w="0" w:type="auto"/>
        <w:tblLook w:val="04A0" w:firstRow="1" w:lastRow="0" w:firstColumn="1" w:lastColumn="0" w:noHBand="0" w:noVBand="1"/>
      </w:tblPr>
      <w:tblGrid>
        <w:gridCol w:w="2972"/>
        <w:gridCol w:w="3686"/>
        <w:gridCol w:w="2935"/>
      </w:tblGrid>
      <w:tr w:rsidR="0047484E" w:rsidRPr="0047484E" w:rsidTr="00472754">
        <w:tc>
          <w:tcPr>
            <w:tcW w:w="2972" w:type="dxa"/>
          </w:tcPr>
          <w:p w:rsidR="0047484E" w:rsidRPr="0047484E" w:rsidRDefault="0047484E" w:rsidP="0047484E">
            <w:pPr>
              <w:ind w:left="0"/>
              <w:rPr>
                <w:b/>
                <w:sz w:val="20"/>
              </w:rPr>
            </w:pPr>
            <w:r w:rsidRPr="0047484E">
              <w:rPr>
                <w:b/>
                <w:sz w:val="20"/>
              </w:rPr>
              <w:t>Common user constituencies’</w:t>
            </w:r>
          </w:p>
        </w:tc>
        <w:tc>
          <w:tcPr>
            <w:tcW w:w="3686" w:type="dxa"/>
          </w:tcPr>
          <w:p w:rsidR="0047484E" w:rsidRPr="0047484E" w:rsidRDefault="0047484E" w:rsidP="0047484E">
            <w:pPr>
              <w:ind w:left="0"/>
              <w:rPr>
                <w:b/>
                <w:sz w:val="20"/>
              </w:rPr>
            </w:pPr>
            <w:r w:rsidRPr="0047484E">
              <w:rPr>
                <w:b/>
                <w:sz w:val="20"/>
              </w:rPr>
              <w:t>Known identity providers (options)</w:t>
            </w:r>
          </w:p>
        </w:tc>
        <w:tc>
          <w:tcPr>
            <w:tcW w:w="2935" w:type="dxa"/>
          </w:tcPr>
          <w:p w:rsidR="0047484E" w:rsidRPr="0047484E" w:rsidRDefault="0047484E" w:rsidP="0047484E">
            <w:pPr>
              <w:ind w:left="0"/>
              <w:rPr>
                <w:b/>
                <w:sz w:val="20"/>
              </w:rPr>
            </w:pPr>
            <w:r w:rsidRPr="0047484E">
              <w:rPr>
                <w:b/>
                <w:sz w:val="20"/>
              </w:rPr>
              <w:t xml:space="preserve">Considerations </w:t>
            </w:r>
          </w:p>
        </w:tc>
      </w:tr>
      <w:tr w:rsidR="0047484E" w:rsidRPr="0047484E" w:rsidTr="00472754">
        <w:tc>
          <w:tcPr>
            <w:tcW w:w="2972" w:type="dxa"/>
          </w:tcPr>
          <w:p w:rsidR="0047484E" w:rsidRPr="0047484E" w:rsidRDefault="0047484E" w:rsidP="0047484E">
            <w:pPr>
              <w:pStyle w:val="tablebullet"/>
            </w:pPr>
            <w:r w:rsidRPr="0047484E">
              <w:t>Customers</w:t>
            </w:r>
          </w:p>
          <w:p w:rsidR="0047484E" w:rsidRPr="0047484E" w:rsidRDefault="0047484E" w:rsidP="0047484E">
            <w:pPr>
              <w:pStyle w:val="tablebullet"/>
            </w:pPr>
            <w:r w:rsidRPr="0047484E">
              <w:t>Citizens</w:t>
            </w:r>
          </w:p>
          <w:p w:rsidR="0047484E" w:rsidRPr="0047484E" w:rsidRDefault="0047484E" w:rsidP="0047484E">
            <w:pPr>
              <w:pStyle w:val="tablebullet"/>
            </w:pPr>
            <w:r w:rsidRPr="0047484E">
              <w:t>Volunteers</w:t>
            </w:r>
          </w:p>
        </w:tc>
        <w:tc>
          <w:tcPr>
            <w:tcW w:w="3686" w:type="dxa"/>
          </w:tcPr>
          <w:p w:rsidR="0047484E" w:rsidRPr="0047484E" w:rsidRDefault="0047484E" w:rsidP="0047484E">
            <w:pPr>
              <w:ind w:left="0"/>
              <w:rPr>
                <w:sz w:val="20"/>
              </w:rPr>
            </w:pPr>
            <w:r w:rsidRPr="0047484E">
              <w:rPr>
                <w:sz w:val="20"/>
              </w:rPr>
              <w:t>There are 30-40 common social media / public IdP’s addressing different user constituencies.</w:t>
            </w:r>
          </w:p>
          <w:p w:rsidR="0047484E" w:rsidRPr="0047484E" w:rsidRDefault="0047484E" w:rsidP="0047484E">
            <w:pPr>
              <w:ind w:left="0"/>
              <w:rPr>
                <w:sz w:val="20"/>
              </w:rPr>
            </w:pPr>
            <w:r w:rsidRPr="0047484E">
              <w:rPr>
                <w:sz w:val="20"/>
              </w:rPr>
              <w:t>Examples:</w:t>
            </w:r>
          </w:p>
          <w:p w:rsidR="0047484E" w:rsidRPr="0047484E" w:rsidRDefault="0047484E" w:rsidP="0047484E">
            <w:pPr>
              <w:pStyle w:val="tablebullet"/>
            </w:pPr>
            <w:r w:rsidRPr="0047484E">
              <w:t>Google</w:t>
            </w:r>
          </w:p>
          <w:p w:rsidR="0047484E" w:rsidRPr="0047484E" w:rsidRDefault="0047484E" w:rsidP="0047484E">
            <w:pPr>
              <w:pStyle w:val="tablebullet"/>
            </w:pPr>
            <w:r w:rsidRPr="0047484E">
              <w:t>Microsoft</w:t>
            </w:r>
          </w:p>
          <w:p w:rsidR="0047484E" w:rsidRPr="0047484E" w:rsidRDefault="0047484E" w:rsidP="0047484E">
            <w:pPr>
              <w:pStyle w:val="tablebullet"/>
            </w:pPr>
            <w:r w:rsidRPr="0047484E">
              <w:t>Facebook</w:t>
            </w:r>
          </w:p>
        </w:tc>
        <w:tc>
          <w:tcPr>
            <w:tcW w:w="2935" w:type="dxa"/>
          </w:tcPr>
          <w:p w:rsidR="0047484E" w:rsidRPr="0047484E" w:rsidRDefault="0047484E" w:rsidP="0047484E">
            <w:pPr>
              <w:ind w:left="0"/>
              <w:rPr>
                <w:sz w:val="20"/>
              </w:rPr>
            </w:pPr>
          </w:p>
        </w:tc>
      </w:tr>
      <w:tr w:rsidR="0047484E" w:rsidRPr="0047484E" w:rsidTr="00472754">
        <w:tc>
          <w:tcPr>
            <w:tcW w:w="2972" w:type="dxa"/>
          </w:tcPr>
          <w:p w:rsidR="0047484E" w:rsidRPr="0047484E" w:rsidRDefault="0047484E" w:rsidP="0047484E">
            <w:pPr>
              <w:pStyle w:val="tablebullet"/>
            </w:pPr>
            <w:r w:rsidRPr="0047484E">
              <w:t>Agency Staff</w:t>
            </w:r>
          </w:p>
        </w:tc>
        <w:tc>
          <w:tcPr>
            <w:tcW w:w="3686" w:type="dxa"/>
          </w:tcPr>
          <w:p w:rsidR="0047484E" w:rsidRPr="0047484E" w:rsidRDefault="0047484E" w:rsidP="0047484E">
            <w:pPr>
              <w:pStyle w:val="tablebullet"/>
            </w:pPr>
            <w:r w:rsidRPr="0047484E">
              <w:t>Departmental Staff IdPs</w:t>
            </w:r>
          </w:p>
          <w:p w:rsidR="0047484E" w:rsidRPr="0047484E" w:rsidRDefault="0047484E" w:rsidP="0047484E">
            <w:pPr>
              <w:pStyle w:val="tablebullet"/>
            </w:pPr>
            <w:r w:rsidRPr="0047484E">
              <w:t xml:space="preserve">QGFAS Federation Service </w:t>
            </w:r>
          </w:p>
        </w:tc>
        <w:tc>
          <w:tcPr>
            <w:tcW w:w="2935" w:type="dxa"/>
          </w:tcPr>
          <w:p w:rsidR="0047484E" w:rsidRPr="0047484E" w:rsidRDefault="0047484E" w:rsidP="0047484E">
            <w:pPr>
              <w:ind w:left="0"/>
              <w:rPr>
                <w:sz w:val="20"/>
              </w:rPr>
            </w:pPr>
          </w:p>
        </w:tc>
      </w:tr>
      <w:tr w:rsidR="0047484E" w:rsidRPr="0047484E" w:rsidTr="00472754">
        <w:tc>
          <w:tcPr>
            <w:tcW w:w="2972" w:type="dxa"/>
          </w:tcPr>
          <w:p w:rsidR="0047484E" w:rsidRPr="0047484E" w:rsidRDefault="0047484E" w:rsidP="0047484E">
            <w:pPr>
              <w:pStyle w:val="tablebullet"/>
            </w:pPr>
            <w:r w:rsidRPr="0047484E">
              <w:t>Customers</w:t>
            </w:r>
          </w:p>
          <w:p w:rsidR="0047484E" w:rsidRPr="0047484E" w:rsidRDefault="0047484E" w:rsidP="0047484E">
            <w:pPr>
              <w:pStyle w:val="tablebullet"/>
            </w:pPr>
            <w:r w:rsidRPr="0047484E">
              <w:t>Citizens</w:t>
            </w:r>
          </w:p>
          <w:p w:rsidR="0047484E" w:rsidRPr="0047484E" w:rsidRDefault="0047484E" w:rsidP="0047484E">
            <w:pPr>
              <w:pStyle w:val="tablebullet"/>
            </w:pPr>
            <w:r w:rsidRPr="0047484E">
              <w:t>Businesses</w:t>
            </w:r>
          </w:p>
          <w:p w:rsidR="0047484E" w:rsidRPr="0047484E" w:rsidRDefault="0047484E" w:rsidP="0047484E">
            <w:pPr>
              <w:pStyle w:val="tablebullet"/>
            </w:pPr>
            <w:r w:rsidRPr="0047484E">
              <w:t>Healthcare Patients</w:t>
            </w:r>
          </w:p>
          <w:p w:rsidR="0047484E" w:rsidRPr="0047484E" w:rsidRDefault="0047484E" w:rsidP="0047484E">
            <w:pPr>
              <w:pStyle w:val="tablebullet"/>
            </w:pPr>
            <w:r w:rsidRPr="0047484E">
              <w:t>Healthcare Providers</w:t>
            </w:r>
          </w:p>
        </w:tc>
        <w:tc>
          <w:tcPr>
            <w:tcW w:w="3686" w:type="dxa"/>
          </w:tcPr>
          <w:p w:rsidR="0047484E" w:rsidRPr="0047484E" w:rsidRDefault="0047484E" w:rsidP="0047484E">
            <w:pPr>
              <w:pStyle w:val="tablebullet"/>
            </w:pPr>
            <w:r w:rsidRPr="0047484E">
              <w:t>QGCIDM</w:t>
            </w:r>
          </w:p>
          <w:p w:rsidR="0047484E" w:rsidRPr="0047484E" w:rsidRDefault="0047484E" w:rsidP="0047484E">
            <w:pPr>
              <w:pStyle w:val="tablebullet"/>
            </w:pPr>
            <w:r w:rsidRPr="0047484E">
              <w:t>DTA (GovPass)</w:t>
            </w:r>
          </w:p>
          <w:p w:rsidR="0047484E" w:rsidRPr="0047484E" w:rsidRDefault="0047484E" w:rsidP="0047484E">
            <w:pPr>
              <w:pStyle w:val="tablebullet"/>
            </w:pPr>
            <w:r w:rsidRPr="0047484E">
              <w:t>Departmental Client IDM systems</w:t>
            </w:r>
          </w:p>
          <w:p w:rsidR="0047484E" w:rsidRPr="0047484E" w:rsidRDefault="0047484E" w:rsidP="0047484E">
            <w:pPr>
              <w:pStyle w:val="tablebullet"/>
            </w:pPr>
            <w:r w:rsidRPr="0047484E">
              <w:t>National e-Health Federation</w:t>
            </w:r>
          </w:p>
        </w:tc>
        <w:tc>
          <w:tcPr>
            <w:tcW w:w="2935" w:type="dxa"/>
          </w:tcPr>
          <w:p w:rsidR="0047484E" w:rsidRPr="0047484E" w:rsidRDefault="0047484E" w:rsidP="0047484E">
            <w:pPr>
              <w:ind w:left="0"/>
              <w:rPr>
                <w:sz w:val="20"/>
              </w:rPr>
            </w:pPr>
          </w:p>
        </w:tc>
      </w:tr>
      <w:tr w:rsidR="0047484E" w:rsidRPr="0047484E" w:rsidTr="00472754">
        <w:tc>
          <w:tcPr>
            <w:tcW w:w="2972" w:type="dxa"/>
          </w:tcPr>
          <w:p w:rsidR="0047484E" w:rsidRPr="0047484E" w:rsidRDefault="0047484E" w:rsidP="0047484E">
            <w:pPr>
              <w:pStyle w:val="tablebullet"/>
            </w:pPr>
            <w:r w:rsidRPr="0047484E">
              <w:t>Various</w:t>
            </w:r>
          </w:p>
          <w:p w:rsidR="0047484E" w:rsidRPr="0047484E" w:rsidRDefault="0047484E" w:rsidP="0047484E">
            <w:pPr>
              <w:pStyle w:val="tablebullet"/>
            </w:pPr>
            <w:r w:rsidRPr="0047484E">
              <w:t>NGO’s</w:t>
            </w:r>
          </w:p>
        </w:tc>
        <w:tc>
          <w:tcPr>
            <w:tcW w:w="3686" w:type="dxa"/>
          </w:tcPr>
          <w:p w:rsidR="0047484E" w:rsidRPr="0047484E" w:rsidRDefault="0047484E" w:rsidP="0047484E">
            <w:pPr>
              <w:pStyle w:val="tablebullet"/>
            </w:pPr>
            <w:r w:rsidRPr="0047484E">
              <w:t>Other Jurisdictions</w:t>
            </w:r>
          </w:p>
          <w:p w:rsidR="0047484E" w:rsidRPr="0047484E" w:rsidRDefault="0047484E" w:rsidP="0047484E">
            <w:pPr>
              <w:pStyle w:val="tablebullet"/>
            </w:pPr>
            <w:r w:rsidRPr="0047484E">
              <w:t>NGO’s as IdP’s</w:t>
            </w:r>
          </w:p>
        </w:tc>
        <w:tc>
          <w:tcPr>
            <w:tcW w:w="2935" w:type="dxa"/>
          </w:tcPr>
          <w:p w:rsidR="0047484E" w:rsidRPr="0047484E" w:rsidRDefault="0047484E" w:rsidP="0047484E">
            <w:pPr>
              <w:ind w:left="0"/>
              <w:rPr>
                <w:sz w:val="20"/>
              </w:rPr>
            </w:pPr>
            <w:r w:rsidRPr="0047484E">
              <w:rPr>
                <w:sz w:val="20"/>
              </w:rPr>
              <w:t>Also consider other existing industry hubs</w:t>
            </w:r>
          </w:p>
        </w:tc>
      </w:tr>
    </w:tbl>
    <w:p w:rsidR="0047484E" w:rsidRPr="000D0139" w:rsidRDefault="0047484E" w:rsidP="0047484E"/>
    <w:p w:rsidR="0047484E" w:rsidRPr="000D0139" w:rsidRDefault="0047484E" w:rsidP="0047484E">
      <w:pPr>
        <w:pStyle w:val="Appendix"/>
      </w:pPr>
      <w:bookmarkStart w:id="38" w:name="_Toc465941963"/>
      <w:bookmarkStart w:id="39" w:name="_Toc483475325"/>
      <w:bookmarkStart w:id="40" w:name="_Toc484085303"/>
      <w:r w:rsidRPr="000D0139">
        <w:lastRenderedPageBreak/>
        <w:t>Listing of federation services</w:t>
      </w:r>
      <w:bookmarkEnd w:id="38"/>
      <w:bookmarkEnd w:id="39"/>
      <w:bookmarkEnd w:id="40"/>
    </w:p>
    <w:p w:rsidR="0047484E" w:rsidRPr="000D0139" w:rsidRDefault="0047484E" w:rsidP="0047484E">
      <w:r w:rsidRPr="000D0139">
        <w:t xml:space="preserve">The table below provides a listing of well-known federation services for authentication available within and outside the Queensland Government. </w:t>
      </w:r>
      <w:r w:rsidRPr="000D0139">
        <w:rPr>
          <w:highlight w:val="yellow"/>
        </w:rPr>
        <w:t>**Example only, not exhaustive**</w:t>
      </w:r>
    </w:p>
    <w:tbl>
      <w:tblPr>
        <w:tblStyle w:val="GridTable1Light"/>
        <w:tblW w:w="10215" w:type="dxa"/>
        <w:tblLayout w:type="fixed"/>
        <w:tblLook w:val="04A0" w:firstRow="1" w:lastRow="0" w:firstColumn="1" w:lastColumn="0" w:noHBand="0" w:noVBand="1"/>
      </w:tblPr>
      <w:tblGrid>
        <w:gridCol w:w="1702"/>
        <w:gridCol w:w="3396"/>
        <w:gridCol w:w="2127"/>
        <w:gridCol w:w="2971"/>
        <w:gridCol w:w="19"/>
      </w:tblGrid>
      <w:tr w:rsidR="0047484E" w:rsidRPr="000D0139" w:rsidTr="0047484E">
        <w:trPr>
          <w:gridAfter w:val="1"/>
          <w:cnfStyle w:val="100000000000" w:firstRow="1" w:lastRow="0" w:firstColumn="0" w:lastColumn="0" w:oddVBand="0" w:evenVBand="0" w:oddHBand="0" w:evenHBand="0" w:firstRowFirstColumn="0" w:firstRowLastColumn="0" w:lastRowFirstColumn="0" w:lastRowLastColumn="0"/>
          <w:wAfter w:w="19" w:type="dxa"/>
          <w:trHeight w:val="270"/>
        </w:trPr>
        <w:tc>
          <w:tcPr>
            <w:cnfStyle w:val="001000000000" w:firstRow="0" w:lastRow="0" w:firstColumn="1" w:lastColumn="0" w:oddVBand="0" w:evenVBand="0" w:oddHBand="0" w:evenHBand="0" w:firstRowFirstColumn="0" w:firstRowLastColumn="0" w:lastRowFirstColumn="0" w:lastRowLastColumn="0"/>
            <w:tcW w:w="1702" w:type="dxa"/>
          </w:tcPr>
          <w:p w:rsidR="0047484E" w:rsidRPr="0047484E" w:rsidRDefault="0047484E" w:rsidP="0047484E">
            <w:pPr>
              <w:ind w:left="0"/>
              <w:rPr>
                <w:rFonts w:cs="Arial"/>
                <w:sz w:val="20"/>
              </w:rPr>
            </w:pPr>
            <w:r w:rsidRPr="0047484E">
              <w:rPr>
                <w:rFonts w:cs="Arial"/>
                <w:sz w:val="20"/>
              </w:rPr>
              <w:t>Federation authentication service</w:t>
            </w:r>
          </w:p>
        </w:tc>
        <w:tc>
          <w:tcPr>
            <w:tcW w:w="3396" w:type="dxa"/>
          </w:tcPr>
          <w:p w:rsidR="0047484E" w:rsidRPr="0047484E" w:rsidRDefault="0047484E" w:rsidP="0047484E">
            <w:pPr>
              <w:ind w:left="0"/>
              <w:cnfStyle w:val="100000000000" w:firstRow="1" w:lastRow="0" w:firstColumn="0" w:lastColumn="0" w:oddVBand="0" w:evenVBand="0" w:oddHBand="0" w:evenHBand="0" w:firstRowFirstColumn="0" w:firstRowLastColumn="0" w:lastRowFirstColumn="0" w:lastRowLastColumn="0"/>
              <w:rPr>
                <w:rFonts w:cs="Arial"/>
                <w:sz w:val="20"/>
              </w:rPr>
            </w:pPr>
            <w:r w:rsidRPr="0047484E">
              <w:rPr>
                <w:rFonts w:cs="Arial"/>
                <w:sz w:val="20"/>
              </w:rPr>
              <w:t>IdP’s or CP’s brokered</w:t>
            </w:r>
          </w:p>
        </w:tc>
        <w:tc>
          <w:tcPr>
            <w:tcW w:w="2127" w:type="dxa"/>
          </w:tcPr>
          <w:p w:rsidR="0047484E" w:rsidRPr="0047484E" w:rsidRDefault="0047484E" w:rsidP="0047484E">
            <w:pPr>
              <w:ind w:left="0"/>
              <w:cnfStyle w:val="100000000000" w:firstRow="1" w:lastRow="0" w:firstColumn="0" w:lastColumn="0" w:oddVBand="0" w:evenVBand="0" w:oddHBand="0" w:evenHBand="0" w:firstRowFirstColumn="0" w:firstRowLastColumn="0" w:lastRowFirstColumn="0" w:lastRowLastColumn="0"/>
              <w:rPr>
                <w:rFonts w:cs="Arial"/>
                <w:sz w:val="20"/>
              </w:rPr>
            </w:pPr>
            <w:r w:rsidRPr="0047484E">
              <w:rPr>
                <w:rFonts w:cs="Arial"/>
                <w:sz w:val="20"/>
              </w:rPr>
              <w:t>Protocols brokered/translated</w:t>
            </w:r>
          </w:p>
        </w:tc>
        <w:tc>
          <w:tcPr>
            <w:tcW w:w="2971" w:type="dxa"/>
          </w:tcPr>
          <w:p w:rsidR="0047484E" w:rsidRPr="0047484E" w:rsidRDefault="0047484E" w:rsidP="0047484E">
            <w:pPr>
              <w:ind w:left="0"/>
              <w:cnfStyle w:val="100000000000" w:firstRow="1" w:lastRow="0" w:firstColumn="0" w:lastColumn="0" w:oddVBand="0" w:evenVBand="0" w:oddHBand="0" w:evenHBand="0" w:firstRowFirstColumn="0" w:firstRowLastColumn="0" w:lastRowFirstColumn="0" w:lastRowLastColumn="0"/>
              <w:rPr>
                <w:rFonts w:cs="Arial"/>
                <w:sz w:val="20"/>
              </w:rPr>
            </w:pPr>
            <w:r w:rsidRPr="0047484E">
              <w:rPr>
                <w:rFonts w:cs="Arial"/>
                <w:sz w:val="20"/>
              </w:rPr>
              <w:t>Notes</w:t>
            </w:r>
          </w:p>
        </w:tc>
      </w:tr>
      <w:tr w:rsidR="0047484E" w:rsidRPr="000D0139" w:rsidTr="0047484E">
        <w:trPr>
          <w:trHeight w:val="136"/>
        </w:trPr>
        <w:tc>
          <w:tcPr>
            <w:cnfStyle w:val="001000000000" w:firstRow="0" w:lastRow="0" w:firstColumn="1" w:lastColumn="0" w:oddVBand="0" w:evenVBand="0" w:oddHBand="0" w:evenHBand="0" w:firstRowFirstColumn="0" w:firstRowLastColumn="0" w:lastRowFirstColumn="0" w:lastRowLastColumn="0"/>
            <w:tcW w:w="10215" w:type="dxa"/>
            <w:gridSpan w:val="5"/>
            <w:shd w:val="clear" w:color="auto" w:fill="D9D9D9" w:themeFill="background1" w:themeFillShade="D9"/>
          </w:tcPr>
          <w:p w:rsidR="0047484E" w:rsidRPr="0047484E" w:rsidRDefault="0047484E" w:rsidP="0047484E">
            <w:pPr>
              <w:ind w:left="0"/>
              <w:rPr>
                <w:rFonts w:cs="Arial"/>
                <w:sz w:val="20"/>
              </w:rPr>
            </w:pPr>
            <w:r w:rsidRPr="0047484E">
              <w:rPr>
                <w:rFonts w:cs="Arial"/>
                <w:sz w:val="20"/>
              </w:rPr>
              <w:t>Queensland Government</w:t>
            </w:r>
          </w:p>
        </w:tc>
      </w:tr>
      <w:tr w:rsidR="0047484E" w:rsidRPr="000D0139" w:rsidTr="0047484E">
        <w:trPr>
          <w:gridAfter w:val="1"/>
          <w:wAfter w:w="19" w:type="dxa"/>
          <w:trHeight w:val="270"/>
        </w:trPr>
        <w:tc>
          <w:tcPr>
            <w:cnfStyle w:val="001000000000" w:firstRow="0" w:lastRow="0" w:firstColumn="1" w:lastColumn="0" w:oddVBand="0" w:evenVBand="0" w:oddHBand="0" w:evenHBand="0" w:firstRowFirstColumn="0" w:firstRowLastColumn="0" w:lastRowFirstColumn="0" w:lastRowLastColumn="0"/>
            <w:tcW w:w="1702" w:type="dxa"/>
          </w:tcPr>
          <w:p w:rsidR="0047484E" w:rsidRPr="0047484E" w:rsidRDefault="0047484E" w:rsidP="0047484E">
            <w:pPr>
              <w:ind w:left="0"/>
              <w:rPr>
                <w:rFonts w:cs="Arial"/>
                <w:sz w:val="20"/>
              </w:rPr>
            </w:pPr>
            <w:r w:rsidRPr="0047484E">
              <w:rPr>
                <w:rFonts w:cs="Arial"/>
                <w:sz w:val="20"/>
              </w:rPr>
              <w:t>Queensland Government Customer Identity Management System (CIDM)</w:t>
            </w:r>
          </w:p>
        </w:tc>
        <w:tc>
          <w:tcPr>
            <w:tcW w:w="3396"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CP’s brokered:</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Google</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Microsoft</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Queensland Government Account (QGA)</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QGCIDM Step-up SMS</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 xml:space="preserve">AUSKey </w:t>
            </w:r>
            <w:r w:rsidRPr="0047484E">
              <w:br/>
              <w:t>(via VANGuard Federation Service)</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Australian Business Account (ABA)</w:t>
            </w:r>
            <w:r w:rsidRPr="0047484E">
              <w:br/>
              <w:t>(via VANGuard Federation Service)</w:t>
            </w:r>
          </w:p>
        </w:tc>
        <w:tc>
          <w:tcPr>
            <w:tcW w:w="2127"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OAuth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SAML -&gt; SAML</w:t>
            </w:r>
          </w:p>
        </w:tc>
        <w:tc>
          <w:tcPr>
            <w:tcW w:w="2971" w:type="dxa"/>
          </w:tcPr>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Operated by DSITI (One-Stop Shop)</w:t>
            </w:r>
          </w:p>
        </w:tc>
      </w:tr>
      <w:tr w:rsidR="0047484E" w:rsidRPr="000D0139" w:rsidTr="0047484E">
        <w:trPr>
          <w:gridAfter w:val="1"/>
          <w:wAfter w:w="19" w:type="dxa"/>
          <w:trHeight w:val="381"/>
        </w:trPr>
        <w:tc>
          <w:tcPr>
            <w:cnfStyle w:val="001000000000" w:firstRow="0" w:lastRow="0" w:firstColumn="1" w:lastColumn="0" w:oddVBand="0" w:evenVBand="0" w:oddHBand="0" w:evenHBand="0" w:firstRowFirstColumn="0" w:firstRowLastColumn="0" w:lastRowFirstColumn="0" w:lastRowLastColumn="0"/>
            <w:tcW w:w="1702" w:type="dxa"/>
          </w:tcPr>
          <w:p w:rsidR="0047484E" w:rsidRPr="0047484E" w:rsidRDefault="0047484E" w:rsidP="0047484E">
            <w:pPr>
              <w:ind w:left="0"/>
              <w:rPr>
                <w:rFonts w:cs="Arial"/>
                <w:sz w:val="20"/>
              </w:rPr>
            </w:pPr>
            <w:r w:rsidRPr="0047484E">
              <w:rPr>
                <w:rFonts w:cs="Arial"/>
                <w:sz w:val="20"/>
              </w:rPr>
              <w:t>Queensland Government Staff Federated Authentication Service (QGFAS)</w:t>
            </w:r>
          </w:p>
        </w:tc>
        <w:tc>
          <w:tcPr>
            <w:tcW w:w="3396"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CP’s brokered:</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Agency Employee Federation IdP’s</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Agency X.509 Device Certificates</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Agency Username/Password Credential Stores</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IdP’s brokered:</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Agency Employee Federation IdP’s</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Agency LDAP Identity Stores</w:t>
            </w:r>
          </w:p>
        </w:tc>
        <w:tc>
          <w:tcPr>
            <w:tcW w:w="2127"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SAML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SAML -&gt; OIDC</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OIDC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OIDC -&gt; OIDC</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LDAP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LDAP -&gt; OIDC</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X.509 -&gt;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 xml:space="preserve">X.509 -&gt; OIDC </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LDAPs -&gt; LDAPs</w:t>
            </w:r>
          </w:p>
        </w:tc>
        <w:tc>
          <w:tcPr>
            <w:tcW w:w="2971" w:type="dxa"/>
          </w:tcPr>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Aligns to QGAF AAL 2 for X-IN-CONFIDENCE classified information (agency self-assessment)</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Operated by Dimension Data as the Prime Services Integrator established for 1WS under the ICT for Government Buildings SOA</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Will be used by other providers on the ICT for Government Buildings SOA to avoid re-integrating with agency IdP/CP’s.</w:t>
            </w:r>
          </w:p>
        </w:tc>
      </w:tr>
      <w:tr w:rsidR="0047484E" w:rsidRPr="000D0139" w:rsidTr="0047484E">
        <w:trPr>
          <w:trHeight w:val="152"/>
        </w:trPr>
        <w:tc>
          <w:tcPr>
            <w:cnfStyle w:val="001000000000" w:firstRow="0" w:lastRow="0" w:firstColumn="1" w:lastColumn="0" w:oddVBand="0" w:evenVBand="0" w:oddHBand="0" w:evenHBand="0" w:firstRowFirstColumn="0" w:firstRowLastColumn="0" w:lastRowFirstColumn="0" w:lastRowLastColumn="0"/>
            <w:tcW w:w="10215" w:type="dxa"/>
            <w:gridSpan w:val="5"/>
            <w:shd w:val="clear" w:color="auto" w:fill="D9D9D9" w:themeFill="background1" w:themeFillShade="D9"/>
          </w:tcPr>
          <w:p w:rsidR="0047484E" w:rsidRPr="0047484E" w:rsidRDefault="0047484E" w:rsidP="0047484E">
            <w:pPr>
              <w:ind w:left="0"/>
              <w:rPr>
                <w:rFonts w:cs="Arial"/>
                <w:sz w:val="20"/>
              </w:rPr>
            </w:pPr>
            <w:r w:rsidRPr="0047484E">
              <w:rPr>
                <w:rFonts w:cs="Arial"/>
                <w:sz w:val="20"/>
              </w:rPr>
              <w:t>Federal Government</w:t>
            </w:r>
          </w:p>
        </w:tc>
      </w:tr>
      <w:tr w:rsidR="0047484E" w:rsidRPr="000D0139" w:rsidTr="0047484E">
        <w:trPr>
          <w:gridAfter w:val="1"/>
          <w:wAfter w:w="19" w:type="dxa"/>
          <w:trHeight w:val="381"/>
        </w:trPr>
        <w:tc>
          <w:tcPr>
            <w:cnfStyle w:val="001000000000" w:firstRow="0" w:lastRow="0" w:firstColumn="1" w:lastColumn="0" w:oddVBand="0" w:evenVBand="0" w:oddHBand="0" w:evenHBand="0" w:firstRowFirstColumn="0" w:firstRowLastColumn="0" w:lastRowFirstColumn="0" w:lastRowLastColumn="0"/>
            <w:tcW w:w="1702" w:type="dxa"/>
          </w:tcPr>
          <w:p w:rsidR="0047484E" w:rsidRPr="0047484E" w:rsidRDefault="0047484E" w:rsidP="0047484E">
            <w:pPr>
              <w:ind w:left="0"/>
              <w:rPr>
                <w:rFonts w:cs="Arial"/>
                <w:sz w:val="20"/>
              </w:rPr>
            </w:pPr>
            <w:r w:rsidRPr="0047484E">
              <w:rPr>
                <w:rFonts w:cs="Arial"/>
                <w:sz w:val="20"/>
              </w:rPr>
              <w:t>VANGuard Federated Authentication Service (FAS)</w:t>
            </w:r>
          </w:p>
        </w:tc>
        <w:tc>
          <w:tcPr>
            <w:tcW w:w="3396"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CP’s brokered:</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AUSKey</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Australian Business Account (ABA)</w:t>
            </w:r>
          </w:p>
          <w:p w:rsidR="0047484E" w:rsidRPr="0047484E" w:rsidRDefault="0047484E" w:rsidP="0047484E">
            <w:pPr>
              <w:pStyle w:val="tablebullet"/>
              <w:cnfStyle w:val="000000000000" w:firstRow="0" w:lastRow="0" w:firstColumn="0" w:lastColumn="0" w:oddVBand="0" w:evenVBand="0" w:oddHBand="0" w:evenHBand="0" w:firstRowFirstColumn="0" w:firstRowLastColumn="0" w:lastRowFirstColumn="0" w:lastRowLastColumn="0"/>
            </w:pPr>
            <w:r w:rsidRPr="0047484E">
              <w:t>MyGov Login with ABR attributes</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 xml:space="preserve">VANGuard brokers identity federation between Federal Government Departments, as well as across State jurisdictions e.g. </w:t>
            </w:r>
            <w:r w:rsidRPr="0047484E">
              <w:rPr>
                <w:rFonts w:cs="Arial"/>
                <w:sz w:val="20"/>
              </w:rPr>
              <w:lastRenderedPageBreak/>
              <w:t>each State’s Review Office accessing the ATO’s Standard Business Reporting application.</w:t>
            </w:r>
          </w:p>
        </w:tc>
        <w:tc>
          <w:tcPr>
            <w:tcW w:w="2127"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lastRenderedPageBreak/>
              <w:t>SAML -&gt; SAML</w:t>
            </w:r>
          </w:p>
        </w:tc>
        <w:tc>
          <w:tcPr>
            <w:tcW w:w="2971" w:type="dxa"/>
          </w:tcPr>
          <w:p w:rsidR="0047484E" w:rsidRPr="0047484E" w:rsidRDefault="0047484E" w:rsidP="00EC49A3">
            <w:pPr>
              <w:pStyle w:val="tablebullet"/>
              <w:cnfStyle w:val="000000000000" w:firstRow="0" w:lastRow="0" w:firstColumn="0" w:lastColumn="0" w:oddVBand="0" w:evenVBand="0" w:oddHBand="0" w:evenHBand="0" w:firstRowFirstColumn="0" w:firstRowLastColumn="0" w:lastRowFirstColumn="0" w:lastRowLastColumn="0"/>
            </w:pPr>
            <w:r w:rsidRPr="0047484E">
              <w:t>Agencies may federate directly with VANGuard or use QGCIDM to proxy certain credentials</w:t>
            </w:r>
          </w:p>
          <w:p w:rsidR="0047484E" w:rsidRPr="0047484E" w:rsidRDefault="0047484E" w:rsidP="00EC49A3">
            <w:pPr>
              <w:pStyle w:val="tablebullet"/>
              <w:cnfStyle w:val="000000000000" w:firstRow="0" w:lastRow="0" w:firstColumn="0" w:lastColumn="0" w:oddVBand="0" w:evenVBand="0" w:oddHBand="0" w:evenHBand="0" w:firstRowFirstColumn="0" w:firstRowLastColumn="0" w:lastRowFirstColumn="0" w:lastRowLastColumn="0"/>
            </w:pPr>
            <w:r w:rsidRPr="0047484E">
              <w:t>Direct agency federations already in place:</w:t>
            </w:r>
          </w:p>
          <w:p w:rsidR="0047484E" w:rsidRPr="0047484E" w:rsidRDefault="0047484E" w:rsidP="00EC49A3">
            <w:pPr>
              <w:pStyle w:val="tablebullet2"/>
              <w:cnfStyle w:val="000000000000" w:firstRow="0" w:lastRow="0" w:firstColumn="0" w:lastColumn="0" w:oddVBand="0" w:evenVBand="0" w:oddHBand="0" w:evenHBand="0" w:firstRowFirstColumn="0" w:firstRowLastColumn="0" w:lastRowFirstColumn="0" w:lastRowLastColumn="0"/>
            </w:pPr>
            <w:r w:rsidRPr="0047484E">
              <w:t xml:space="preserve">DETSB for AUSKey and ABA business credentials for the Queensland </w:t>
            </w:r>
            <w:r w:rsidRPr="0047484E">
              <w:lastRenderedPageBreak/>
              <w:t>Government Business and Industry Portal (BIP)</w:t>
            </w:r>
          </w:p>
          <w:p w:rsidR="0047484E" w:rsidRPr="0047484E" w:rsidRDefault="0047484E" w:rsidP="00EC49A3">
            <w:pPr>
              <w:pStyle w:val="tablebullet2"/>
              <w:cnfStyle w:val="000000000000" w:firstRow="0" w:lastRow="0" w:firstColumn="0" w:lastColumn="0" w:oddVBand="0" w:evenVBand="0" w:oddHBand="0" w:evenHBand="0" w:firstRowFirstColumn="0" w:firstRowLastColumn="0" w:lastRowFirstColumn="0" w:lastRowLastColumn="0"/>
            </w:pPr>
            <w:r w:rsidRPr="0047484E">
              <w:t>Queensland Treasury for Federation Mining and Petroleum Royalties</w:t>
            </w:r>
          </w:p>
          <w:p w:rsidR="0047484E" w:rsidRPr="0047484E" w:rsidRDefault="0047484E" w:rsidP="00EC49A3">
            <w:pPr>
              <w:pStyle w:val="tablebullet2"/>
              <w:cnfStyle w:val="000000000000" w:firstRow="0" w:lastRow="0" w:firstColumn="0" w:lastColumn="0" w:oddVBand="0" w:evenVBand="0" w:oddHBand="0" w:evenHBand="0" w:firstRowFirstColumn="0" w:firstRowLastColumn="0" w:lastRowFirstColumn="0" w:lastRowLastColumn="0"/>
            </w:pPr>
            <w:r w:rsidRPr="0047484E">
              <w:t xml:space="preserve">Communities for </w:t>
            </w:r>
          </w:p>
          <w:p w:rsidR="0047484E" w:rsidRPr="0047484E" w:rsidRDefault="0047484E" w:rsidP="00EC49A3">
            <w:pPr>
              <w:pStyle w:val="tablebullet"/>
              <w:cnfStyle w:val="000000000000" w:firstRow="0" w:lastRow="0" w:firstColumn="0" w:lastColumn="0" w:oddVBand="0" w:evenVBand="0" w:oddHBand="0" w:evenHBand="0" w:firstRowFirstColumn="0" w:firstRowLastColumn="0" w:lastRowFirstColumn="0" w:lastRowLastColumn="0"/>
            </w:pPr>
            <w:r w:rsidRPr="0047484E">
              <w:t>Connection fees can apply</w:t>
            </w:r>
          </w:p>
        </w:tc>
      </w:tr>
      <w:tr w:rsidR="0047484E" w:rsidRPr="000D0139" w:rsidTr="0047484E">
        <w:trPr>
          <w:trHeight w:val="106"/>
        </w:trPr>
        <w:tc>
          <w:tcPr>
            <w:cnfStyle w:val="001000000000" w:firstRow="0" w:lastRow="0" w:firstColumn="1" w:lastColumn="0" w:oddVBand="0" w:evenVBand="0" w:oddHBand="0" w:evenHBand="0" w:firstRowFirstColumn="0" w:firstRowLastColumn="0" w:lastRowFirstColumn="0" w:lastRowLastColumn="0"/>
            <w:tcW w:w="10215" w:type="dxa"/>
            <w:gridSpan w:val="5"/>
            <w:shd w:val="clear" w:color="auto" w:fill="D9D9D9" w:themeFill="background1" w:themeFillShade="D9"/>
          </w:tcPr>
          <w:p w:rsidR="0047484E" w:rsidRPr="0047484E" w:rsidRDefault="0047484E" w:rsidP="0047484E">
            <w:pPr>
              <w:ind w:left="0"/>
              <w:rPr>
                <w:rFonts w:cs="Arial"/>
                <w:sz w:val="20"/>
              </w:rPr>
            </w:pPr>
            <w:r w:rsidRPr="0047484E">
              <w:rPr>
                <w:rFonts w:cs="Arial"/>
                <w:sz w:val="20"/>
              </w:rPr>
              <w:lastRenderedPageBreak/>
              <w:t>Industry</w:t>
            </w:r>
          </w:p>
        </w:tc>
      </w:tr>
      <w:tr w:rsidR="0047484E" w:rsidRPr="000D0139" w:rsidTr="0047484E">
        <w:trPr>
          <w:gridAfter w:val="1"/>
          <w:wAfter w:w="19" w:type="dxa"/>
          <w:trHeight w:val="381"/>
        </w:trPr>
        <w:tc>
          <w:tcPr>
            <w:cnfStyle w:val="001000000000" w:firstRow="0" w:lastRow="0" w:firstColumn="1" w:lastColumn="0" w:oddVBand="0" w:evenVBand="0" w:oddHBand="0" w:evenHBand="0" w:firstRowFirstColumn="0" w:firstRowLastColumn="0" w:lastRowFirstColumn="0" w:lastRowLastColumn="0"/>
            <w:tcW w:w="1702" w:type="dxa"/>
          </w:tcPr>
          <w:p w:rsidR="0047484E" w:rsidRPr="0047484E" w:rsidRDefault="0047484E" w:rsidP="0047484E">
            <w:pPr>
              <w:ind w:left="0"/>
              <w:rPr>
                <w:rFonts w:cs="Arial"/>
                <w:sz w:val="20"/>
              </w:rPr>
            </w:pPr>
            <w:r w:rsidRPr="0047484E">
              <w:rPr>
                <w:rFonts w:cs="Arial"/>
                <w:sz w:val="20"/>
              </w:rPr>
              <w:t>Australian Access Federation (AAF)</w:t>
            </w:r>
          </w:p>
        </w:tc>
        <w:tc>
          <w:tcPr>
            <w:tcW w:w="3396"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p>
        </w:tc>
        <w:tc>
          <w:tcPr>
            <w:tcW w:w="2127"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SAML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Shibboleth -&gt; SAML</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SAML -&gt; Shibboleth</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SAML -&gt; JWT</w:t>
            </w:r>
          </w:p>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Shibboleth -&gt; JWT</w:t>
            </w:r>
          </w:p>
        </w:tc>
        <w:tc>
          <w:tcPr>
            <w:tcW w:w="2971" w:type="dxa"/>
          </w:tcPr>
          <w:p w:rsidR="0047484E" w:rsidRPr="0047484E" w:rsidRDefault="0047484E" w:rsidP="0047484E">
            <w:pPr>
              <w:ind w:left="0"/>
              <w:cnfStyle w:val="000000000000" w:firstRow="0" w:lastRow="0" w:firstColumn="0" w:lastColumn="0" w:oddVBand="0" w:evenVBand="0" w:oddHBand="0" w:evenHBand="0" w:firstRowFirstColumn="0" w:firstRowLastColumn="0" w:lastRowFirstColumn="0" w:lastRowLastColumn="0"/>
              <w:rPr>
                <w:rFonts w:cs="Arial"/>
                <w:sz w:val="20"/>
              </w:rPr>
            </w:pPr>
            <w:r w:rsidRPr="0047484E">
              <w:rPr>
                <w:rFonts w:cs="Arial"/>
                <w:sz w:val="20"/>
              </w:rPr>
              <w:t>Used by:</w:t>
            </w:r>
          </w:p>
          <w:p w:rsidR="0047484E" w:rsidRPr="0047484E" w:rsidRDefault="0047484E" w:rsidP="00EC49A3">
            <w:pPr>
              <w:pStyle w:val="tablebullet"/>
              <w:cnfStyle w:val="000000000000" w:firstRow="0" w:lastRow="0" w:firstColumn="0" w:lastColumn="0" w:oddVBand="0" w:evenVBand="0" w:oddHBand="0" w:evenHBand="0" w:firstRowFirstColumn="0" w:firstRowLastColumn="0" w:lastRowFirstColumn="0" w:lastRowLastColumn="0"/>
            </w:pPr>
            <w:r w:rsidRPr="0047484E">
              <w:t xml:space="preserve">DET </w:t>
            </w:r>
          </w:p>
          <w:p w:rsidR="0047484E" w:rsidRPr="0047484E" w:rsidRDefault="00EC49A3" w:rsidP="00EC49A3">
            <w:pPr>
              <w:pStyle w:val="tablebullet"/>
              <w:cnfStyle w:val="000000000000" w:firstRow="0" w:lastRow="0" w:firstColumn="0" w:lastColumn="0" w:oddVBand="0" w:evenVBand="0" w:oddHBand="0" w:evenHBand="0" w:firstRowFirstColumn="0" w:firstRowLastColumn="0" w:lastRowFirstColumn="0" w:lastRowLastColumn="0"/>
            </w:pPr>
            <w:r>
              <w:t>DSITI</w:t>
            </w:r>
            <w:r w:rsidR="0047484E" w:rsidRPr="0047484E">
              <w:t xml:space="preserve"> (Science Division) to access the QRIScloud (research HPC)</w:t>
            </w:r>
          </w:p>
        </w:tc>
      </w:tr>
    </w:tbl>
    <w:p w:rsidR="0047484E" w:rsidRPr="000D0139" w:rsidRDefault="0047484E" w:rsidP="0047484E"/>
    <w:p w:rsidR="0047484E" w:rsidRPr="000D0139" w:rsidRDefault="0047484E" w:rsidP="00EC49A3">
      <w:pPr>
        <w:pStyle w:val="Appendix"/>
      </w:pPr>
      <w:bookmarkStart w:id="41" w:name="_Toc483475326"/>
      <w:bookmarkStart w:id="42" w:name="_Toc484085304"/>
      <w:r w:rsidRPr="000D0139">
        <w:lastRenderedPageBreak/>
        <w:t>Terms and Acronyms</w:t>
      </w:r>
      <w:bookmarkEnd w:id="41"/>
      <w:bookmarkEnd w:id="42"/>
    </w:p>
    <w:p w:rsidR="0047484E" w:rsidRPr="000D0139" w:rsidRDefault="0047484E" w:rsidP="0047484E">
      <w:r w:rsidRPr="000D0139">
        <w:t>The following is a list of terms and acronyms used throughout the Blueprint.</w:t>
      </w:r>
    </w:p>
    <w:p w:rsidR="0047484E" w:rsidRPr="000D0139" w:rsidRDefault="0047484E" w:rsidP="00EC49A3">
      <w:pPr>
        <w:pStyle w:val="Appendixlvl2"/>
      </w:pPr>
      <w:bookmarkStart w:id="43" w:name="_Toc483475327"/>
      <w:r w:rsidRPr="000D0139">
        <w:t>Acronyms</w:t>
      </w:r>
      <w:bookmarkEnd w:id="43"/>
    </w:p>
    <w:tbl>
      <w:tblPr>
        <w:tblStyle w:val="Table-LowInk"/>
        <w:tblW w:w="9634" w:type="dxa"/>
        <w:tblLook w:val="04A0" w:firstRow="1" w:lastRow="0" w:firstColumn="1" w:lastColumn="0" w:noHBand="0" w:noVBand="1"/>
      </w:tblPr>
      <w:tblGrid>
        <w:gridCol w:w="462"/>
        <w:gridCol w:w="1801"/>
        <w:gridCol w:w="7371"/>
      </w:tblGrid>
      <w:tr w:rsidR="0047484E" w:rsidRPr="005A4108" w:rsidTr="00472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r w:rsidRPr="005A4108">
              <w:rPr>
                <w:rFonts w:cs="Arial"/>
                <w:sz w:val="20"/>
              </w:rPr>
              <w:t>#</w:t>
            </w:r>
          </w:p>
        </w:tc>
        <w:tc>
          <w:tcPr>
            <w:tcW w:w="1801" w:type="dxa"/>
          </w:tcPr>
          <w:p w:rsidR="0047484E" w:rsidRPr="005A4108" w:rsidRDefault="0047484E" w:rsidP="00EC49A3">
            <w:pPr>
              <w:ind w:left="0"/>
              <w:cnfStyle w:val="100000000000" w:firstRow="1" w:lastRow="0" w:firstColumn="0" w:lastColumn="0" w:oddVBand="0" w:evenVBand="0" w:oddHBand="0" w:evenHBand="0" w:firstRowFirstColumn="0" w:firstRowLastColumn="0" w:lastRowFirstColumn="0" w:lastRowLastColumn="0"/>
              <w:rPr>
                <w:rFonts w:cs="Arial"/>
                <w:sz w:val="20"/>
              </w:rPr>
            </w:pPr>
            <w:r w:rsidRPr="005A4108">
              <w:rPr>
                <w:rFonts w:cs="Arial"/>
                <w:sz w:val="20"/>
              </w:rPr>
              <w:t>Term</w:t>
            </w:r>
          </w:p>
        </w:tc>
        <w:tc>
          <w:tcPr>
            <w:tcW w:w="7371" w:type="dxa"/>
          </w:tcPr>
          <w:p w:rsidR="0047484E" w:rsidRPr="005A4108" w:rsidRDefault="0047484E" w:rsidP="00EC49A3">
            <w:pPr>
              <w:ind w:left="0"/>
              <w:cnfStyle w:val="100000000000" w:firstRow="1" w:lastRow="0" w:firstColumn="0" w:lastColumn="0" w:oddVBand="0" w:evenVBand="0" w:oddHBand="0" w:evenHBand="0" w:firstRowFirstColumn="0" w:firstRowLastColumn="0" w:lastRowFirstColumn="0" w:lastRowLastColumn="0"/>
              <w:rPr>
                <w:rFonts w:cs="Arial"/>
                <w:sz w:val="20"/>
              </w:rPr>
            </w:pPr>
            <w:r w:rsidRPr="005A4108">
              <w:rPr>
                <w:rFonts w:cs="Arial"/>
                <w:sz w:val="20"/>
              </w:rPr>
              <w:t>Description</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r w:rsidRPr="005A4108">
              <w:rPr>
                <w:rFonts w:cs="Arial"/>
                <w:sz w:val="20"/>
              </w:rPr>
              <w:t>1</w:t>
            </w: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ABN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Australian Business Number</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r w:rsidRPr="005A4108">
              <w:rPr>
                <w:rFonts w:cs="Arial"/>
                <w:sz w:val="20"/>
              </w:rPr>
              <w:t>2</w:t>
            </w: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API</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Application Programming Interface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r w:rsidRPr="005A4108">
              <w:rPr>
                <w:rFonts w:cs="Arial"/>
                <w:sz w:val="20"/>
              </w:rPr>
              <w:t>3</w:t>
            </w: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B2B</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Business to Business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B2C</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Business to Consumer</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B2G</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Business to Government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CA</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Certification Authority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CRL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Certificate Revocation List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CSR</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Certificate Signing Request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EOI</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Evidence of Identity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G2C</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Government to Consumer</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G2G</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Government to Government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IAAS</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Infrastructure as a Service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IAM</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Identity and Access Management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NeAF</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National e-Authentication Framework</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NIST</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National Institute of Standards and Technology (US)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OTP</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One-time password</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PAAS</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Platform as a Service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PIA</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Privacy Impact Assessment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PKI</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Public Key Infrastructure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QGAF</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Queensland Government Authentication Framework</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SAAS</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Software as a Service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SAML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Security Assertion Mark-up Language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XACML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extensible Access Control Mark-up Language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XML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Extensible Mark-up Language</w:t>
            </w:r>
          </w:p>
        </w:tc>
      </w:tr>
    </w:tbl>
    <w:p w:rsidR="0047484E" w:rsidRPr="000D0139" w:rsidRDefault="0047484E" w:rsidP="0047484E"/>
    <w:p w:rsidR="0047484E" w:rsidRPr="000D0139" w:rsidRDefault="0047484E" w:rsidP="00EC49A3">
      <w:pPr>
        <w:pStyle w:val="Appendixlvl2"/>
      </w:pPr>
      <w:bookmarkStart w:id="44" w:name="_Toc483475328"/>
      <w:r w:rsidRPr="000D0139">
        <w:lastRenderedPageBreak/>
        <w:t>Terms</w:t>
      </w:r>
      <w:bookmarkEnd w:id="44"/>
    </w:p>
    <w:tbl>
      <w:tblPr>
        <w:tblStyle w:val="Table-LowInk"/>
        <w:tblW w:w="9634" w:type="dxa"/>
        <w:tblLook w:val="04A0" w:firstRow="1" w:lastRow="0" w:firstColumn="1" w:lastColumn="0" w:noHBand="0" w:noVBand="1"/>
      </w:tblPr>
      <w:tblGrid>
        <w:gridCol w:w="462"/>
        <w:gridCol w:w="1801"/>
        <w:gridCol w:w="7371"/>
      </w:tblGrid>
      <w:tr w:rsidR="0047484E" w:rsidRPr="005A4108" w:rsidTr="004727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r w:rsidRPr="005A4108">
              <w:rPr>
                <w:rFonts w:cs="Arial"/>
                <w:sz w:val="20"/>
              </w:rPr>
              <w:t>#</w:t>
            </w:r>
          </w:p>
        </w:tc>
        <w:tc>
          <w:tcPr>
            <w:tcW w:w="1801" w:type="dxa"/>
          </w:tcPr>
          <w:p w:rsidR="0047484E" w:rsidRPr="005A4108" w:rsidRDefault="0047484E" w:rsidP="00EC49A3">
            <w:pPr>
              <w:ind w:left="0"/>
              <w:cnfStyle w:val="100000000000" w:firstRow="1" w:lastRow="0" w:firstColumn="0" w:lastColumn="0" w:oddVBand="0" w:evenVBand="0" w:oddHBand="0" w:evenHBand="0" w:firstRowFirstColumn="0" w:firstRowLastColumn="0" w:lastRowFirstColumn="0" w:lastRowLastColumn="0"/>
              <w:rPr>
                <w:rFonts w:cs="Arial"/>
                <w:sz w:val="20"/>
              </w:rPr>
            </w:pPr>
            <w:r w:rsidRPr="005A4108">
              <w:rPr>
                <w:rFonts w:cs="Arial"/>
                <w:sz w:val="20"/>
              </w:rPr>
              <w:t>Term</w:t>
            </w:r>
          </w:p>
        </w:tc>
        <w:tc>
          <w:tcPr>
            <w:tcW w:w="7371" w:type="dxa"/>
          </w:tcPr>
          <w:p w:rsidR="0047484E" w:rsidRPr="005A4108" w:rsidRDefault="0047484E" w:rsidP="00EC49A3">
            <w:pPr>
              <w:ind w:left="0"/>
              <w:cnfStyle w:val="100000000000" w:firstRow="1" w:lastRow="0" w:firstColumn="0" w:lastColumn="0" w:oddVBand="0" w:evenVBand="0" w:oddHBand="0" w:evenHBand="0" w:firstRowFirstColumn="0" w:firstRowLastColumn="0" w:lastRowFirstColumn="0" w:lastRowLastColumn="0"/>
              <w:rPr>
                <w:rFonts w:cs="Arial"/>
                <w:sz w:val="20"/>
              </w:rPr>
            </w:pPr>
            <w:r w:rsidRPr="005A4108">
              <w:rPr>
                <w:rFonts w:cs="Arial"/>
                <w:sz w:val="20"/>
              </w:rPr>
              <w:t>Description</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Agency</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An Agency can be:</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A Department of State, or a Department of the Parliament, of the Commonwealth, a State or a Territory;</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A body corporate or an unincorporated body established or constituted for a public purpose by Commonwealth, State or Territory legislation, or an instrument made under that legislation (including a local authority);</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A body established by the Governor General, a State Governor, or by a Minister of State of the Commonwealth, a State or a Territory; or</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An incorporated company over which the Commonwealth, a State or a Territory has a controlling interest.</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Assertion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attribute that the relying party wishes to authenticate. These can include: entity, identity, value, role or delegation.</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Assurance Level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level of confidence in a claim, assertion, credential or service. The four levels of assurance recognised in Government policies are:</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Level 1 – No or little confidence</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Level 2 – Some confidence</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Level 3 – High confidence</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Level 4 – Very high confidence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Attestation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of confirming a user's identity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Attribute Exchange</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use of tokens and API’s to perform CRUD operations on identity information to keep sources synchronised / cached.</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AUSkey</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credential that identifies an Individual interacting with digital government services on behalf of a Business Entity.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Authentication</w:t>
            </w:r>
          </w:p>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of establishing that an Individual, Organisation or NPE is who or what they claim to be.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Authorisation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of determining if a user has the right to access a service or perform an action.</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Binding</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of linking a credential to an identity in an assured manner. With respect to EOI it is the process of establishing a linkage between an individual or entity and their claimed or documented identity in an assured manner.</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Certificate</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An electronic document signed by the Certification Authority which:</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Identifies either a Key Holder and/or the business entity that he/she represents; or a device or application owned, operated or controlled by the business entity</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Binds the Key Holder to a Key Pair by specifying the Public Key of that Key Pair</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Contains the information required by the Certificate Profile.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Certificate Revocation List (CRL)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published directory which lists revoked Digital Certificates. The CRL may form part of the Certificate Directory or may be published separately.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Certificate Signing</w:t>
            </w:r>
          </w:p>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Request (CSR)</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message sent from an Applicant to a Certification Authority to apply for a digital certificate.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Certification Authority (CA)</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Service Provider that digitally signs X.509 v3 Digital Certificates using its Private Key.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Chain of Trust</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process of validating each component of a hierarchy from the bottom up.</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Client</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 xml:space="preserve">Client is an identity held by an organisation where the entity as no direct interaction or control of the identity. </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Credential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“technology” used by a user for authentication (e.g. username/password, shared information, smartcard, public key infrastructure (PKI) etc.)</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Credential</w:t>
            </w:r>
          </w:p>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Management</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“lifecycle” approach associated with a credential including creation, initialisation, personalisation, issue, maintenance, cancellation, verification and event logging.</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Customer</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Customer is an identity held by an organisation where the entity as complete control of the identity and can interact with the identity directly.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De-provisioning</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removal of a person from an identity repository (for example, when someone leaves the company). This action removes a person's access privileges as well.</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Document Verification Service (DVS)</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An Australian Government initiative to improve identity security, combat identity crime and protect the identities of Australians from being used for illegal purposes.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Enrolment</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act of binding an e-Authentication credential to a known instance of a user within an IT resource context (e.g. network, website, application system) to enable access by the user.</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Entity</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 xml:space="preserve">The person or “subject” (e.g. corporations, trusts, superannuation funds, incorporated associations) associated with a digital identity. An entity may have multiple digital identities. </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Evidence of Identity (EOI)</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Evidence (e.g. in the form of documents) issued to substantiate the identity of the presenting party, usually produced at the time of Registration (i.e. when authentication credentials are issued).</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Federation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Also known as federated identity management, this is a technical implementation that enables identity information to be developed and shared among several entities and across trust domains.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Identifier</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 xml:space="preserve">A label (such as a name or some other text) that gives an entity a name. Such a name makes it easier to determine who is using what. Many entities have multiple identifiers and can be unique or duplicated depending on the type, which can prove useful. </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Identity</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representation of an entity, particularly within an information and communication technologies (ICT) context. An entity may be represented as “themselves” or as a representative, role, delegate etc.</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Identity Attribute</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property tied to an entity. This could be the entity's phone number, home address, or other details.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Identity Proofing</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by which sufficient information is captured and verified to identify an entity to a specified or understood level of assurance.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Identity Provider</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kind of provider that creates, maintains, and manages identity information for principals and provides principal authentication to other service providers within a federation, such as with web browser profiles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Individual</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Relates to a person who intends to transact or is transacting securely online with government agencies in his/her capacity as a private person.</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National Identity Proofing Guidelines</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Guidelines produced by the Attorney General’s Department for identity verification within government Agencies.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OAuth</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An open authorization standard that allows certain applications to access server resources on behalf of a user.</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One Time Password</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password that is changed each time it is required.</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OpenID Connect</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standardized method of de-centralized authentication based on the OAuth protocol.</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Organisation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Relates to an entity that has authorised one or more of its employees to hold and use Keys and Certificates on its behalf. An Organisation may or may not be a Business Entity</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Personal Information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Information or an opinion (including information or an opinion forming part of a database), whether true or not, and whether recorded in a material form or not, about a natural person whose identity is apparent, or can reasonably be ascertained, from the information or opinion.</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Registration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processes associated with the initial creation of an electronic identity for a user. Registration usually encompasses EOI or EOR processes.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Registration Authority</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Service Provider that:</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Is responsible for the registration of applicants for Digital Certificates by checking Evidence of Identity documentation submitted by the applicant for its compliance with Gatekeeper Identity Proofing Policy;</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Is responsible for the provision of completed and authorised application form including copies of the submitted EOI documents to the relevant CA; and</w:t>
            </w:r>
          </w:p>
          <w:p w:rsidR="0047484E" w:rsidRPr="005A4108" w:rsidRDefault="0047484E" w:rsidP="005A4108">
            <w:pPr>
              <w:pStyle w:val="tablebullet"/>
              <w:cnfStyle w:val="000000000000" w:firstRow="0" w:lastRow="0" w:firstColumn="0" w:lastColumn="0" w:oddVBand="0" w:evenVBand="0" w:oddHBand="0" w:evenHBand="0" w:firstRowFirstColumn="0" w:firstRowLastColumn="0" w:lastRowFirstColumn="0" w:lastRowLastColumn="0"/>
            </w:pPr>
            <w:r w:rsidRPr="005A4108">
              <w:t>May be responsible for the secure distribution of signed Digital Certificates to Subscribers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Relying Party</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recipient of a Certificate who acts in reliance on that Certificate and/or Digital Signatures verified using that Certificate.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Renew</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of obtaining a new Certificate of the same category and type for the same subject once an existing Certificate has expired.</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Service Provider</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A system that provides a generic service to the user in a federated system. To users, a service provider is the same thing as the application they are trying to use.</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VANguard</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Is a Federal whole-of-government program that delivers authentication services to B2B and B2G digital transactions. VANguard is a certificate status service used by AUSkey and other Federal services for Businesses.</w:t>
            </w:r>
          </w:p>
        </w:tc>
      </w:tr>
      <w:tr w:rsidR="0047484E" w:rsidRPr="005A4108" w:rsidTr="00472754">
        <w:tblPrEx>
          <w:tblCellMar>
            <w:top w:w="57" w:type="dxa"/>
            <w:left w:w="119" w:type="dxa"/>
            <w:right w:w="119" w:type="dxa"/>
          </w:tblCellMar>
        </w:tblPrEx>
        <w:tc>
          <w:tcPr>
            <w:cnfStyle w:val="001000000000" w:firstRow="0" w:lastRow="0" w:firstColumn="1" w:lastColumn="0" w:oddVBand="0" w:evenVBand="0" w:oddHBand="0" w:evenHBand="0" w:firstRowFirstColumn="0" w:firstRowLastColumn="0" w:lastRowFirstColumn="0" w:lastRowLastColumn="0"/>
            <w:tcW w:w="462" w:type="dxa"/>
          </w:tcPr>
          <w:p w:rsidR="0047484E" w:rsidRPr="005A4108" w:rsidRDefault="0047484E" w:rsidP="00EC49A3">
            <w:pPr>
              <w:ind w:left="0"/>
              <w:rPr>
                <w:rFonts w:cs="Arial"/>
                <w:sz w:val="20"/>
              </w:rPr>
            </w:pPr>
          </w:p>
        </w:tc>
        <w:tc>
          <w:tcPr>
            <w:tcW w:w="180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Verification</w:t>
            </w:r>
          </w:p>
        </w:tc>
        <w:tc>
          <w:tcPr>
            <w:tcW w:w="7371" w:type="dxa"/>
          </w:tcPr>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Verification is a process whereby information is checked for accuracy and authenticity, usually with an authoritative source that personal information (e.g. name, date of birth) submitted by an individual is true and correct.</w:t>
            </w:r>
          </w:p>
          <w:p w:rsidR="0047484E" w:rsidRPr="005A4108" w:rsidRDefault="0047484E" w:rsidP="00EC49A3">
            <w:pPr>
              <w:ind w:left="0"/>
              <w:cnfStyle w:val="000000000000" w:firstRow="0" w:lastRow="0" w:firstColumn="0" w:lastColumn="0" w:oddVBand="0" w:evenVBand="0" w:oddHBand="0" w:evenHBand="0" w:firstRowFirstColumn="0" w:firstRowLastColumn="0" w:lastRowFirstColumn="0" w:lastRowLastColumn="0"/>
              <w:rPr>
                <w:rFonts w:cs="Arial"/>
                <w:sz w:val="20"/>
              </w:rPr>
            </w:pPr>
            <w:r w:rsidRPr="005A4108">
              <w:rPr>
                <w:rFonts w:cs="Arial"/>
                <w:sz w:val="20"/>
              </w:rPr>
              <w:t>The process of checking information by comparing the provided information with previously corroborated information</w:t>
            </w:r>
          </w:p>
        </w:tc>
      </w:tr>
    </w:tbl>
    <w:p w:rsidR="0047484E" w:rsidRPr="000D0139" w:rsidRDefault="0047484E" w:rsidP="0047484E"/>
    <w:p w:rsidR="0022094E" w:rsidRPr="003E716D" w:rsidRDefault="0022094E" w:rsidP="00B12183">
      <w:pPr>
        <w:pStyle w:val="Heading1nonumber"/>
        <w:pageBreakBefore/>
      </w:pPr>
      <w:r w:rsidRPr="003E716D">
        <w:lastRenderedPageBreak/>
        <w:t>Document history</w:t>
      </w:r>
    </w:p>
    <w:p w:rsidR="00FF3EF6" w:rsidRPr="0022094E" w:rsidRDefault="00FF3EF6" w:rsidP="00F85F2B">
      <w:pPr>
        <w:ind w:left="0"/>
      </w:pPr>
    </w:p>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1B7DE2" w:rsidRPr="009142A2" w:rsidRDefault="001B7DE2" w:rsidP="00766CCB">
            <w:pPr>
              <w:ind w:left="6"/>
            </w:pPr>
            <w:r w:rsidRPr="009142A2">
              <w:t>Version</w:t>
            </w:r>
          </w:p>
        </w:tc>
        <w:tc>
          <w:tcPr>
            <w:tcW w:w="1773" w:type="dxa"/>
          </w:tcPr>
          <w:p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DE34B7"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DE34B7" w:rsidRPr="003E716D" w:rsidRDefault="00DE34B7" w:rsidP="00DE34B7">
            <w:pPr>
              <w:ind w:left="0"/>
            </w:pPr>
            <w:r w:rsidRPr="003E716D">
              <w:t>0.0.1</w:t>
            </w:r>
          </w:p>
        </w:tc>
        <w:tc>
          <w:tcPr>
            <w:tcW w:w="1773" w:type="dxa"/>
          </w:tcPr>
          <w:p w:rsidR="00DE34B7" w:rsidRPr="003E716D" w:rsidRDefault="00DE34B7" w:rsidP="00DE34B7">
            <w:pPr>
              <w:ind w:left="0"/>
              <w:cnfStyle w:val="000000000000" w:firstRow="0" w:lastRow="0" w:firstColumn="0" w:lastColumn="0" w:oddVBand="0" w:evenVBand="0" w:oddHBand="0" w:evenHBand="0" w:firstRowFirstColumn="0" w:firstRowLastColumn="0" w:lastRowFirstColumn="0" w:lastRowLastColumn="0"/>
            </w:pPr>
            <w:r>
              <w:t>June 2016</w:t>
            </w:r>
          </w:p>
        </w:tc>
        <w:tc>
          <w:tcPr>
            <w:tcW w:w="2835" w:type="dxa"/>
          </w:tcPr>
          <w:p w:rsidR="00DE34B7" w:rsidRPr="003E716D" w:rsidRDefault="00DE34B7" w:rsidP="00DE34B7">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DE34B7" w:rsidRPr="003E716D" w:rsidRDefault="00DE34B7" w:rsidP="00DE34B7">
            <w:pPr>
              <w:ind w:left="22"/>
              <w:cnfStyle w:val="000000000000" w:firstRow="0" w:lastRow="0" w:firstColumn="0" w:lastColumn="0" w:oddVBand="0" w:evenVBand="0" w:oddHBand="0" w:evenHBand="0" w:firstRowFirstColumn="0" w:firstRowLastColumn="0" w:lastRowFirstColumn="0" w:lastRowLastColumn="0"/>
            </w:pPr>
            <w:r>
              <w:t>First draft</w:t>
            </w:r>
          </w:p>
        </w:tc>
      </w:tr>
      <w:tr w:rsidR="00DE34B7"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DE34B7" w:rsidRPr="003E716D" w:rsidRDefault="00DE34B7" w:rsidP="00DE34B7">
            <w:pPr>
              <w:ind w:left="0"/>
            </w:pPr>
            <w:r>
              <w:t>0.1.0</w:t>
            </w:r>
          </w:p>
        </w:tc>
        <w:tc>
          <w:tcPr>
            <w:tcW w:w="1773" w:type="dxa"/>
          </w:tcPr>
          <w:p w:rsidR="00DE34B7" w:rsidRPr="003E716D" w:rsidRDefault="00DE34B7" w:rsidP="00DE34B7">
            <w:pPr>
              <w:ind w:left="0"/>
              <w:cnfStyle w:val="000000000000" w:firstRow="0" w:lastRow="0" w:firstColumn="0" w:lastColumn="0" w:oddVBand="0" w:evenVBand="0" w:oddHBand="0" w:evenHBand="0" w:firstRowFirstColumn="0" w:firstRowLastColumn="0" w:lastRowFirstColumn="0" w:lastRowLastColumn="0"/>
            </w:pPr>
            <w:r>
              <w:t>November 2016</w:t>
            </w:r>
          </w:p>
        </w:tc>
        <w:tc>
          <w:tcPr>
            <w:tcW w:w="2835" w:type="dxa"/>
          </w:tcPr>
          <w:p w:rsidR="00DE34B7" w:rsidRPr="003E716D" w:rsidRDefault="00DE34B7" w:rsidP="00DE34B7">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DE34B7" w:rsidRPr="00030153" w:rsidRDefault="00DE34B7" w:rsidP="00DE34B7">
            <w:pPr>
              <w:ind w:left="22"/>
              <w:cnfStyle w:val="000000000000" w:firstRow="0" w:lastRow="0" w:firstColumn="0" w:lastColumn="0" w:oddVBand="0" w:evenVBand="0" w:oddHBand="0" w:evenHBand="0" w:firstRowFirstColumn="0" w:firstRowLastColumn="0" w:lastRowFirstColumn="0" w:lastRowLastColumn="0"/>
            </w:pPr>
            <w:r>
              <w:t>Draft for informal comment</w:t>
            </w:r>
          </w:p>
        </w:tc>
      </w:tr>
      <w:tr w:rsidR="001B7DE2" w:rsidRPr="00FF3EF6"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1B7DE2" w:rsidRPr="003E716D" w:rsidRDefault="00DE34B7" w:rsidP="00766CCB">
            <w:pPr>
              <w:ind w:left="0"/>
            </w:pPr>
            <w:r>
              <w:t>1.0.0</w:t>
            </w:r>
          </w:p>
        </w:tc>
        <w:tc>
          <w:tcPr>
            <w:tcW w:w="1773" w:type="dxa"/>
          </w:tcPr>
          <w:p w:rsidR="001B7DE2" w:rsidRPr="003E716D" w:rsidRDefault="00DE34B7" w:rsidP="00766CCB">
            <w:pPr>
              <w:ind w:left="0"/>
              <w:cnfStyle w:val="010000000000" w:firstRow="0" w:lastRow="1" w:firstColumn="0" w:lastColumn="0" w:oddVBand="0" w:evenVBand="0" w:oddHBand="0" w:evenHBand="0" w:firstRowFirstColumn="0" w:firstRowLastColumn="0" w:lastRowFirstColumn="0" w:lastRowLastColumn="0"/>
            </w:pPr>
            <w:r>
              <w:t>May 2017</w:t>
            </w:r>
          </w:p>
        </w:tc>
        <w:tc>
          <w:tcPr>
            <w:tcW w:w="2835" w:type="dxa"/>
          </w:tcPr>
          <w:p w:rsidR="001B7DE2" w:rsidRPr="003E716D" w:rsidRDefault="00DE34B7" w:rsidP="00766CCB">
            <w:pPr>
              <w:ind w:left="22"/>
              <w:cnfStyle w:val="010000000000" w:firstRow="0" w:lastRow="1" w:firstColumn="0" w:lastColumn="0" w:oddVBand="0" w:evenVBand="0" w:oddHBand="0" w:evenHBand="0" w:firstRowFirstColumn="0" w:firstRowLastColumn="0" w:lastRowFirstColumn="0" w:lastRowLastColumn="0"/>
            </w:pPr>
            <w:r>
              <w:t>QGCIO</w:t>
            </w:r>
          </w:p>
        </w:tc>
        <w:tc>
          <w:tcPr>
            <w:tcW w:w="4252" w:type="dxa"/>
          </w:tcPr>
          <w:p w:rsidR="001B7DE2" w:rsidRPr="003E716D" w:rsidRDefault="00DE34B7" w:rsidP="00766CCB">
            <w:pPr>
              <w:ind w:left="22"/>
              <w:cnfStyle w:val="010000000000" w:firstRow="0" w:lastRow="1" w:firstColumn="0" w:lastColumn="0" w:oddVBand="0" w:evenVBand="0" w:oddHBand="0" w:evenHBand="0" w:firstRowFirstColumn="0" w:firstRowLastColumn="0" w:lastRowFirstColumn="0" w:lastRowLastColumn="0"/>
            </w:pPr>
            <w:r>
              <w:t xml:space="preserve">No changes following informal or formal </w:t>
            </w:r>
            <w:r w:rsidR="00BB143A">
              <w:t>consultation</w:t>
            </w:r>
            <w:r>
              <w:t>. Administratively approved by Director, Strategy, Policy and Governance, QGCIO</w:t>
            </w:r>
          </w:p>
        </w:tc>
      </w:tr>
    </w:tbl>
    <w:p w:rsidR="00CA23BE" w:rsidRPr="00055798" w:rsidRDefault="00CA23BE" w:rsidP="006517B2">
      <w:pPr>
        <w:pStyle w:val="BodyText"/>
      </w:pPr>
    </w:p>
    <w:sectPr w:rsidR="00CA23BE" w:rsidRPr="00055798" w:rsidSect="00B5132B">
      <w:headerReference w:type="even" r:id="rId49"/>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16E" w:rsidRDefault="000C416E" w:rsidP="00766CCB">
      <w:r>
        <w:separator/>
      </w:r>
    </w:p>
    <w:p w:rsidR="000C416E" w:rsidRDefault="000C416E" w:rsidP="00766CCB"/>
    <w:p w:rsidR="000C416E" w:rsidRDefault="000C416E" w:rsidP="00766CCB"/>
    <w:p w:rsidR="000C416E" w:rsidRDefault="000C416E" w:rsidP="00766CCB"/>
  </w:endnote>
  <w:endnote w:type="continuationSeparator" w:id="0">
    <w:p w:rsidR="000C416E" w:rsidRDefault="000C416E" w:rsidP="00766CCB">
      <w:r>
        <w:continuationSeparator/>
      </w:r>
    </w:p>
    <w:p w:rsidR="000C416E" w:rsidRDefault="000C416E" w:rsidP="00766CCB"/>
    <w:p w:rsidR="000C416E" w:rsidRDefault="000C416E" w:rsidP="00766CCB"/>
    <w:p w:rsidR="000C416E" w:rsidRDefault="000C416E" w:rsidP="00766CCB"/>
  </w:endnote>
  <w:endnote w:id="1">
    <w:p w:rsidR="000C416E" w:rsidRPr="00911CCF" w:rsidRDefault="000C416E" w:rsidP="006A6213">
      <w:pPr>
        <w:pStyle w:val="EndnoteText"/>
        <w:rPr>
          <w:rFonts w:asciiTheme="minorHAnsi" w:hAnsiTheme="minorHAnsi" w:cs="Arial"/>
          <w:sz w:val="14"/>
          <w:szCs w:val="14"/>
        </w:rPr>
      </w:pPr>
      <w:r w:rsidRPr="00911CCF">
        <w:rPr>
          <w:rStyle w:val="EndnoteReference"/>
          <w:rFonts w:asciiTheme="minorHAnsi" w:hAnsiTheme="minorHAnsi"/>
          <w:sz w:val="14"/>
          <w:szCs w:val="14"/>
        </w:rPr>
        <w:endnoteRef/>
      </w:r>
      <w:r w:rsidRPr="00911CCF">
        <w:rPr>
          <w:rFonts w:asciiTheme="minorHAnsi" w:hAnsiTheme="minorHAnsi"/>
          <w:sz w:val="14"/>
          <w:szCs w:val="14"/>
        </w:rPr>
        <w:t xml:space="preserve"> </w:t>
      </w:r>
      <w:r w:rsidRPr="00911CCF">
        <w:rPr>
          <w:rFonts w:asciiTheme="minorHAnsi" w:hAnsiTheme="minorHAnsi" w:cs="Arial"/>
          <w:sz w:val="14"/>
          <w:szCs w:val="14"/>
        </w:rPr>
        <w:t>http://www.tbs-sct.gc.ca/hgw-cgf/oversight-surveillance/atip-aiprp/sim-gsi/docs/2011/fimgc-fgigc-eng.asp</w:t>
      </w:r>
      <w:r>
        <w:rPr>
          <w:rFonts w:asciiTheme="minorHAnsi" w:hAnsiTheme="minorHAnsi" w:cs="Arial"/>
          <w:sz w:val="14"/>
          <w:szCs w:val="14"/>
        </w:rPr>
        <w:t xml:space="preserve"> </w:t>
      </w:r>
    </w:p>
  </w:endnote>
  <w:endnote w:id="2">
    <w:p w:rsidR="000C416E" w:rsidRPr="00911CCF" w:rsidRDefault="000C416E" w:rsidP="006A6213">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http://www.tbs-sct.gc.ca/hgw-cgf/oversight-surveillance/atip-aiprp/sim-gsi/docs/2011/fimgc-fgigc-eng.asp</w:t>
      </w:r>
    </w:p>
  </w:endnote>
  <w:endnote w:id="3">
    <w:p w:rsidR="000C416E" w:rsidRPr="00911CCF" w:rsidRDefault="000C416E" w:rsidP="006A6213">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http://www.nascio.org/EA/ArtMID/572/ArticleID/161/The-State-Identity-Credential-and-Access-Management-Guidance-and-Roadmap-SICAM</w:t>
      </w:r>
    </w:p>
  </w:endnote>
  <w:endnote w:id="4">
    <w:p w:rsidR="000C416E" w:rsidRPr="00911CCF" w:rsidRDefault="000C416E" w:rsidP="006A6213">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http://www.nascio.org/EA/ArtMID/572/ArticleID/161/The-State-Identity-Credential-and-Access-Management-Guidance-and-Roadmap-SICAM</w:t>
      </w:r>
    </w:p>
  </w:endnote>
  <w:endnote w:id="5">
    <w:p w:rsidR="000C416E" w:rsidRPr="00911CCF" w:rsidRDefault="000C416E" w:rsidP="006A6213">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http://www.diacc.ca/wp-content/uploads/2015/05/DIACC-Building-Canadas-Digital-Future-May5-2015.pdf</w:t>
      </w:r>
    </w:p>
  </w:endnote>
  <w:endnote w:id="6">
    <w:p w:rsidR="000C416E" w:rsidRPr="00911CCF" w:rsidRDefault="000C416E" w:rsidP="00EA0A61">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http://www.iccs-isac.org/en/km/transformative/docs/Pan-Canadian%20Assurance%20Model.PDF</w:t>
      </w:r>
    </w:p>
  </w:endnote>
  <w:endnote w:id="7">
    <w:p w:rsidR="000C416E" w:rsidRPr="00911CCF" w:rsidRDefault="000C416E" w:rsidP="00323B4D">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Diagram represented a modified concept from https://kantarainitiative.org/confluence/display/uma/Introduction+to+UMA?src=contextnavchildmode</w:t>
      </w:r>
    </w:p>
  </w:endnote>
  <w:endnote w:id="8">
    <w:p w:rsidR="00BA745F" w:rsidRPr="00911CCF" w:rsidRDefault="00BA745F" w:rsidP="00BA745F">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 xml:space="preserve"> http://kantarainitiative.org/confluence/download/attachments/76907066/NZ%20ProjectClosureReport_PoC%20Delegations-Final%20Version%20SIG%20redacted%20Rev1.pdf?api=v2</w:t>
      </w:r>
    </w:p>
  </w:endnote>
  <w:endnote w:id="9">
    <w:p w:rsidR="000A3257" w:rsidRDefault="000A3257" w:rsidP="000A3257">
      <w:pPr>
        <w:pStyle w:val="EndnoteText"/>
        <w:rPr>
          <w:rFonts w:asciiTheme="minorHAnsi" w:hAnsiTheme="minorHAnsi" w:cs="Arial"/>
          <w:sz w:val="14"/>
          <w:szCs w:val="14"/>
        </w:rPr>
      </w:pPr>
      <w:r w:rsidRPr="00911CCF">
        <w:rPr>
          <w:rStyle w:val="EndnoteReference"/>
          <w:rFonts w:asciiTheme="minorHAnsi" w:hAnsiTheme="minorHAnsi" w:cs="Arial"/>
          <w:sz w:val="14"/>
          <w:szCs w:val="14"/>
        </w:rPr>
        <w:endnoteRef/>
      </w:r>
      <w:r w:rsidRPr="00911CCF">
        <w:rPr>
          <w:rFonts w:asciiTheme="minorHAnsi" w:hAnsiTheme="minorHAnsi" w:cs="Arial"/>
          <w:sz w:val="14"/>
          <w:szCs w:val="14"/>
        </w:rPr>
        <w:t>http://www.gartner.com/document/3142123?ref=solrAll&amp;refval=169116106&amp;qid=959e2abfb90ad1828ee9a5ee8bf4d0b1</w:t>
      </w:r>
    </w:p>
    <w:p w:rsidR="000A3257" w:rsidRPr="00B9601B" w:rsidRDefault="000A3257" w:rsidP="000A3257">
      <w:pPr>
        <w:pStyle w:val="EndnoteText"/>
        <w:rPr>
          <w:rFonts w:asciiTheme="minorHAnsi" w:hAnsiTheme="minorHAnsi" w:cs="Arial"/>
          <w:sz w:val="14"/>
          <w:szCs w:val="14"/>
        </w:rPr>
      </w:pPr>
      <w:r w:rsidRPr="00DE1BDC">
        <w:rPr>
          <w:rFonts w:asciiTheme="minorHAnsi" w:hAnsiTheme="minorHAnsi" w:cs="Arial"/>
          <w:sz w:val="14"/>
          <w:szCs w:val="14"/>
        </w:rPr>
        <w:t>https://www.finance.gov.au/sites/default/files/Identity-and-Access-Management-Glossary-draft-Dec2014.pdf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6E" w:rsidRPr="006517B2" w:rsidRDefault="000C416E"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May 2017</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04327B">
      <w:rPr>
        <w:caps w:val="0"/>
        <w:noProof/>
        <w:color w:val="A6A6A6" w:themeColor="background1" w:themeShade="A6"/>
      </w:rPr>
      <w:t>23</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04327B">
      <w:rPr>
        <w:caps w:val="0"/>
        <w:noProof/>
        <w:color w:val="A6A6A6" w:themeColor="background1" w:themeShade="A6"/>
      </w:rPr>
      <w:t>50</w:t>
    </w:r>
    <w:r w:rsidRPr="006517B2">
      <w:rPr>
        <w:caps w:val="0"/>
        <w:color w:val="A6A6A6" w:themeColor="background1" w:themeShade="A6"/>
      </w:rPr>
      <w:fldChar w:fldCharType="end"/>
    </w:r>
  </w:p>
  <w:p w:rsidR="000C416E" w:rsidRPr="009773A9" w:rsidRDefault="000C416E"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6E" w:rsidRDefault="000C416E"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16E" w:rsidRDefault="000C416E" w:rsidP="00766CCB">
      <w:r>
        <w:separator/>
      </w:r>
    </w:p>
  </w:footnote>
  <w:footnote w:type="continuationSeparator" w:id="0">
    <w:p w:rsidR="000C416E" w:rsidRDefault="000C416E" w:rsidP="00766CCB">
      <w:r>
        <w:continuationSeparator/>
      </w:r>
    </w:p>
  </w:footnote>
  <w:footnote w:type="continuationNotice" w:id="1">
    <w:p w:rsidR="000C416E" w:rsidRDefault="000C416E" w:rsidP="00766CCB"/>
  </w:footnote>
  <w:footnote w:id="2">
    <w:p w:rsidR="000C416E" w:rsidRDefault="000C416E" w:rsidP="006A6213">
      <w:pPr>
        <w:pStyle w:val="BodyText1"/>
      </w:pPr>
      <w:r w:rsidRPr="0044060B">
        <w:rPr>
          <w:rStyle w:val="FootnoteReference"/>
          <w:sz w:val="18"/>
        </w:rPr>
        <w:footnoteRef/>
      </w:r>
      <w:r w:rsidRPr="0044060B">
        <w:t xml:space="preserve"> QGAF since 2004 has</w:t>
      </w:r>
      <w:r w:rsidRPr="00310D84">
        <w:t xml:space="preserve"> recognised</w:t>
      </w:r>
      <w:r w:rsidRPr="0044060B">
        <w:t xml:space="preserve"> the use of third party registration authorities to perform evidence of identity and credential management for any assurance level, provided appropriate trust is established between the third-party registration authority and the relying party</w:t>
      </w:r>
      <w:r w:rsidRPr="0044060B">
        <w:rPr>
          <w:rStyle w:val="EndnoteReference"/>
          <w:sz w:val="12"/>
        </w:rPr>
        <w:footnoteRef/>
      </w:r>
      <w:r w:rsidRPr="0044060B">
        <w:rPr>
          <w:sz w:val="16"/>
        </w:rPr>
        <w:t>.</w:t>
      </w:r>
    </w:p>
  </w:footnote>
  <w:footnote w:id="3">
    <w:p w:rsidR="004E2F2A" w:rsidRDefault="004E2F2A" w:rsidP="004E2F2A">
      <w:pPr>
        <w:pStyle w:val="FootnoteText"/>
      </w:pPr>
      <w:r>
        <w:rPr>
          <w:rStyle w:val="FootnoteReference"/>
        </w:rPr>
        <w:footnoteRef/>
      </w:r>
      <w:r>
        <w:t xml:space="preserve"> </w:t>
      </w:r>
      <w:r>
        <w:rPr>
          <w:rStyle w:val="normaltextrun"/>
          <w:rFonts w:ascii="Calibri" w:hAnsi="Calibri" w:cs="Tahoma"/>
          <w:color w:val="000000" w:themeColor="text1"/>
          <w:szCs w:val="22"/>
        </w:rPr>
        <w:t>Service providers on the whole-of-government ‘</w:t>
      </w:r>
      <w:r w:rsidRPr="00643399">
        <w:rPr>
          <w:rStyle w:val="normaltextrun"/>
          <w:rFonts w:ascii="Calibri" w:hAnsi="Calibri" w:cs="Tahoma"/>
          <w:color w:val="000000" w:themeColor="text1"/>
          <w:szCs w:val="22"/>
        </w:rPr>
        <w:t>ICT for Government Buildings</w:t>
      </w:r>
      <w:r>
        <w:rPr>
          <w:rStyle w:val="normaltextrun"/>
          <w:rFonts w:ascii="Calibri" w:hAnsi="Calibri" w:cs="Tahoma"/>
          <w:color w:val="000000" w:themeColor="text1"/>
          <w:szCs w:val="22"/>
        </w:rPr>
        <w:t>’</w:t>
      </w:r>
      <w:r w:rsidRPr="00643399">
        <w:rPr>
          <w:rStyle w:val="normaltextrun"/>
          <w:rFonts w:ascii="Calibri" w:hAnsi="Calibri" w:cs="Tahoma"/>
          <w:color w:val="000000" w:themeColor="text1"/>
          <w:szCs w:val="22"/>
        </w:rPr>
        <w:t xml:space="preserve"> SOA</w:t>
      </w:r>
      <w:r>
        <w:rPr>
          <w:rStyle w:val="normaltextrun"/>
          <w:rFonts w:ascii="Calibri" w:hAnsi="Calibri" w:cs="Tahoma"/>
          <w:color w:val="000000" w:themeColor="text1"/>
          <w:szCs w:val="22"/>
        </w:rPr>
        <w:t xml:space="preserve"> may utilise QGSFAS rather than separately supplying ‘Federated Identity Management (FIM) services’ as this avoids the need for providers to separately integrate with each agency. FIM Services (referred to as QGSFAS) is currently provided by the service provider appointed for 1 William 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6E" w:rsidRDefault="000C416E"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 xml:space="preserve">Federated identity blueprint </w:t>
    </w:r>
    <w:r w:rsidR="003211EA">
      <w:rPr>
        <w:sz w:val="16"/>
        <w:szCs w:val="16"/>
      </w:rPr>
      <w:t xml:space="preserve">- </w:t>
    </w:r>
    <w:r>
      <w:rPr>
        <w:sz w:val="16"/>
        <w:szCs w:val="16"/>
      </w:rPr>
      <w:t>Overview</w:t>
    </w:r>
  </w:p>
  <w:p w:rsidR="000C416E" w:rsidRPr="00E55257" w:rsidRDefault="000C416E"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6E" w:rsidRDefault="000C416E"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16E" w:rsidRPr="00A867F7" w:rsidRDefault="000C416E"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0C416E" w:rsidRPr="00A867F7" w:rsidRDefault="000C416E"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16E" w:rsidRDefault="000C416E"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A2C71"/>
    <w:multiLevelType w:val="multilevel"/>
    <w:tmpl w:val="B92C84B0"/>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3"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5" w15:restartNumberingAfterBreak="0">
    <w:nsid w:val="1D305EE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9321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11231E5"/>
    <w:multiLevelType w:val="multilevel"/>
    <w:tmpl w:val="BF42E764"/>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o"/>
      <w:lvlJc w:val="left"/>
      <w:pPr>
        <w:tabs>
          <w:tab w:val="num" w:pos="1985"/>
        </w:tabs>
        <w:ind w:left="1985" w:hanging="426"/>
      </w:pPr>
      <w:rPr>
        <w:rFonts w:ascii="Courier New" w:hAnsi="Courier New" w:cs="Courier New"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9" w15:restartNumberingAfterBreak="0">
    <w:nsid w:val="39A078F1"/>
    <w:multiLevelType w:val="hybridMultilevel"/>
    <w:tmpl w:val="84729378"/>
    <w:lvl w:ilvl="0" w:tplc="052CA3DC">
      <w:start w:val="1"/>
      <w:numFmt w:val="bullet"/>
      <w:pStyle w:val="tablebullet"/>
      <w:lvlText w:val=""/>
      <w:lvlJc w:val="left"/>
      <w:pPr>
        <w:ind w:left="720" w:hanging="360"/>
      </w:pPr>
      <w:rPr>
        <w:rFonts w:ascii="Symbol" w:hAnsi="Symbol" w:hint="default"/>
      </w:rPr>
    </w:lvl>
    <w:lvl w:ilvl="1" w:tplc="E9CE3606">
      <w:start w:val="1"/>
      <w:numFmt w:val="bullet"/>
      <w:pStyle w:val="table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1"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E13F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5"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6" w15:restartNumberingAfterBreak="0">
    <w:nsid w:val="57BE5FC0"/>
    <w:multiLevelType w:val="multilevel"/>
    <w:tmpl w:val="DEF4B5AA"/>
    <w:lvl w:ilvl="0">
      <w:start w:val="1"/>
      <w:numFmt w:val="none"/>
      <w:suff w:val="nothing"/>
      <w:lvlText w:val="%1"/>
      <w:lvlJc w:val="left"/>
      <w:pPr>
        <w:ind w:left="709" w:firstLine="0"/>
      </w:pPr>
      <w:rPr>
        <w:rFonts w:hint="default"/>
        <w:color w:val="auto"/>
        <w:sz w:val="20"/>
      </w:rPr>
    </w:lvl>
    <w:lvl w:ilvl="1">
      <w:start w:val="1"/>
      <w:numFmt w:val="decimal"/>
      <w:lvlText w:val="%2."/>
      <w:lvlJc w:val="left"/>
      <w:pPr>
        <w:tabs>
          <w:tab w:val="num" w:pos="1134"/>
        </w:tabs>
        <w:ind w:left="1134" w:hanging="425"/>
      </w:pPr>
      <w:rPr>
        <w:rFonts w:hint="default"/>
      </w:rPr>
    </w:lvl>
    <w:lvl w:ilvl="2">
      <w:start w:val="1"/>
      <w:numFmt w:val="lowerLetter"/>
      <w:lvlText w:val="%3."/>
      <w:lvlJc w:val="left"/>
      <w:pPr>
        <w:tabs>
          <w:tab w:val="num" w:pos="1559"/>
        </w:tabs>
        <w:ind w:left="1559" w:hanging="425"/>
      </w:pPr>
      <w:rPr>
        <w:rFonts w:hint="default"/>
      </w:rPr>
    </w:lvl>
    <w:lvl w:ilvl="3">
      <w:start w:val="1"/>
      <w:numFmt w:val="lowerRoman"/>
      <w:lvlText w:val="%4."/>
      <w:lvlJc w:val="left"/>
      <w:pPr>
        <w:tabs>
          <w:tab w:val="num" w:pos="1985"/>
        </w:tabs>
        <w:ind w:left="1985" w:hanging="426"/>
      </w:pPr>
      <w:rPr>
        <w:rFonts w:hint="default"/>
      </w:rPr>
    </w:lvl>
    <w:lvl w:ilvl="4">
      <w:start w:val="1"/>
      <w:numFmt w:val="none"/>
      <w:lvlRestart w:val="0"/>
      <w:suff w:val="nothing"/>
      <w:lvlText w:val=""/>
      <w:lvlJc w:val="left"/>
      <w:pPr>
        <w:ind w:left="1985" w:firstLine="0"/>
      </w:pPr>
      <w:rPr>
        <w:rFonts w:hint="default"/>
      </w:rPr>
    </w:lvl>
    <w:lvl w:ilvl="5">
      <w:start w:val="1"/>
      <w:numFmt w:val="none"/>
      <w:lvlRestart w:val="0"/>
      <w:suff w:val="nothing"/>
      <w:lvlText w:val=""/>
      <w:lvlJc w:val="left"/>
      <w:pPr>
        <w:ind w:left="1985" w:firstLine="0"/>
      </w:pPr>
      <w:rPr>
        <w:rFonts w:hint="default"/>
      </w:rPr>
    </w:lvl>
    <w:lvl w:ilvl="6">
      <w:start w:val="1"/>
      <w:numFmt w:val="none"/>
      <w:lvlRestart w:val="0"/>
      <w:suff w:val="nothing"/>
      <w:lvlText w:val=""/>
      <w:lvlJc w:val="left"/>
      <w:pPr>
        <w:ind w:left="1985" w:firstLine="0"/>
      </w:pPr>
      <w:rPr>
        <w:rFonts w:hint="default"/>
      </w:rPr>
    </w:lvl>
    <w:lvl w:ilvl="7">
      <w:start w:val="1"/>
      <w:numFmt w:val="none"/>
      <w:lvlRestart w:val="0"/>
      <w:suff w:val="nothing"/>
      <w:lvlText w:val=""/>
      <w:lvlJc w:val="left"/>
      <w:pPr>
        <w:ind w:left="1985" w:firstLine="0"/>
      </w:pPr>
      <w:rPr>
        <w:rFonts w:hint="default"/>
      </w:rPr>
    </w:lvl>
    <w:lvl w:ilvl="8">
      <w:start w:val="1"/>
      <w:numFmt w:val="none"/>
      <w:lvlRestart w:val="0"/>
      <w:suff w:val="nothing"/>
      <w:lvlText w:val=""/>
      <w:lvlJc w:val="left"/>
      <w:pPr>
        <w:ind w:left="1985" w:firstLine="0"/>
      </w:pPr>
      <w:rPr>
        <w:rFonts w:hint="default"/>
      </w:rPr>
    </w:lvl>
  </w:abstractNum>
  <w:abstractNum w:abstractNumId="27"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7"/>
  </w:num>
  <w:num w:numId="13">
    <w:abstractNumId w:val="28"/>
  </w:num>
  <w:num w:numId="14">
    <w:abstractNumId w:val="20"/>
  </w:num>
  <w:num w:numId="15">
    <w:abstractNumId w:val="30"/>
  </w:num>
  <w:num w:numId="16">
    <w:abstractNumId w:val="29"/>
  </w:num>
  <w:num w:numId="17">
    <w:abstractNumId w:val="31"/>
  </w:num>
  <w:num w:numId="18">
    <w:abstractNumId w:val="26"/>
  </w:num>
  <w:num w:numId="19">
    <w:abstractNumId w:val="25"/>
  </w:num>
  <w:num w:numId="20">
    <w:abstractNumId w:val="11"/>
  </w:num>
  <w:num w:numId="21">
    <w:abstractNumId w:val="15"/>
  </w:num>
  <w:num w:numId="22">
    <w:abstractNumId w:val="23"/>
  </w:num>
  <w:num w:numId="23">
    <w:abstractNumId w:val="16"/>
  </w:num>
  <w:num w:numId="24">
    <w:abstractNumId w:val="18"/>
  </w:num>
  <w:num w:numId="25">
    <w:abstractNumId w:val="24"/>
  </w:num>
  <w:num w:numId="26">
    <w:abstractNumId w:val="13"/>
  </w:num>
  <w:num w:numId="27">
    <w:abstractNumId w:val="12"/>
  </w:num>
  <w:num w:numId="28">
    <w:abstractNumId w:val="32"/>
  </w:num>
  <w:num w:numId="29">
    <w:abstractNumId w:val="10"/>
  </w:num>
  <w:num w:numId="30">
    <w:abstractNumId w:val="14"/>
  </w:num>
  <w:num w:numId="31">
    <w:abstractNumId w:val="27"/>
  </w:num>
  <w:num w:numId="32">
    <w:abstractNumId w:val="22"/>
  </w:num>
  <w:num w:numId="33">
    <w:abstractNumId w:val="26"/>
  </w:num>
  <w:num w:numId="34">
    <w:abstractNumId w:val="19"/>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213"/>
    <w:rsid w:val="00010D0B"/>
    <w:rsid w:val="00013A6E"/>
    <w:rsid w:val="00023993"/>
    <w:rsid w:val="0003232D"/>
    <w:rsid w:val="000373DC"/>
    <w:rsid w:val="0004327B"/>
    <w:rsid w:val="00045ECF"/>
    <w:rsid w:val="00055798"/>
    <w:rsid w:val="000624E0"/>
    <w:rsid w:val="000658E9"/>
    <w:rsid w:val="00067AC8"/>
    <w:rsid w:val="00076AFC"/>
    <w:rsid w:val="000852D2"/>
    <w:rsid w:val="00094C82"/>
    <w:rsid w:val="000971C7"/>
    <w:rsid w:val="000A3257"/>
    <w:rsid w:val="000B13CF"/>
    <w:rsid w:val="000B62BB"/>
    <w:rsid w:val="000C0B75"/>
    <w:rsid w:val="000C416E"/>
    <w:rsid w:val="000D158A"/>
    <w:rsid w:val="000D5487"/>
    <w:rsid w:val="000E2C15"/>
    <w:rsid w:val="000E4CEE"/>
    <w:rsid w:val="000E5D3E"/>
    <w:rsid w:val="000E655A"/>
    <w:rsid w:val="000F03BA"/>
    <w:rsid w:val="000F159E"/>
    <w:rsid w:val="00102AC2"/>
    <w:rsid w:val="001348ED"/>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4E73"/>
    <w:rsid w:val="001F5F67"/>
    <w:rsid w:val="001F5F8B"/>
    <w:rsid w:val="002071CB"/>
    <w:rsid w:val="00213943"/>
    <w:rsid w:val="00217165"/>
    <w:rsid w:val="0022094E"/>
    <w:rsid w:val="00230ABD"/>
    <w:rsid w:val="00237DA5"/>
    <w:rsid w:val="00250E15"/>
    <w:rsid w:val="00251BA2"/>
    <w:rsid w:val="00262BC5"/>
    <w:rsid w:val="002714BB"/>
    <w:rsid w:val="002718E0"/>
    <w:rsid w:val="00274284"/>
    <w:rsid w:val="00280BC6"/>
    <w:rsid w:val="00282E8A"/>
    <w:rsid w:val="00285476"/>
    <w:rsid w:val="00294748"/>
    <w:rsid w:val="00296E03"/>
    <w:rsid w:val="002A370D"/>
    <w:rsid w:val="002A49E3"/>
    <w:rsid w:val="002A69A8"/>
    <w:rsid w:val="002B014A"/>
    <w:rsid w:val="002B4138"/>
    <w:rsid w:val="002C4084"/>
    <w:rsid w:val="002E5DE8"/>
    <w:rsid w:val="002F118D"/>
    <w:rsid w:val="002F77AE"/>
    <w:rsid w:val="0031308B"/>
    <w:rsid w:val="0031375B"/>
    <w:rsid w:val="003211EA"/>
    <w:rsid w:val="00321AFA"/>
    <w:rsid w:val="00323B4D"/>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1F81"/>
    <w:rsid w:val="00402910"/>
    <w:rsid w:val="00407D8F"/>
    <w:rsid w:val="00425443"/>
    <w:rsid w:val="00446E17"/>
    <w:rsid w:val="00465527"/>
    <w:rsid w:val="0047484E"/>
    <w:rsid w:val="00485DEE"/>
    <w:rsid w:val="004A2BBE"/>
    <w:rsid w:val="004A6FEB"/>
    <w:rsid w:val="004B14A0"/>
    <w:rsid w:val="004C22CB"/>
    <w:rsid w:val="004C694F"/>
    <w:rsid w:val="004D353E"/>
    <w:rsid w:val="004D3880"/>
    <w:rsid w:val="004D63D6"/>
    <w:rsid w:val="004E2F2A"/>
    <w:rsid w:val="004F0A9A"/>
    <w:rsid w:val="004F3D74"/>
    <w:rsid w:val="00503B8B"/>
    <w:rsid w:val="00506597"/>
    <w:rsid w:val="005070CB"/>
    <w:rsid w:val="00527E24"/>
    <w:rsid w:val="0053138B"/>
    <w:rsid w:val="00537EA2"/>
    <w:rsid w:val="005452FB"/>
    <w:rsid w:val="00560E74"/>
    <w:rsid w:val="00571312"/>
    <w:rsid w:val="005750A7"/>
    <w:rsid w:val="005757D8"/>
    <w:rsid w:val="005866FC"/>
    <w:rsid w:val="00591588"/>
    <w:rsid w:val="005A4108"/>
    <w:rsid w:val="005A54F1"/>
    <w:rsid w:val="005A5F28"/>
    <w:rsid w:val="005B3086"/>
    <w:rsid w:val="005D65A5"/>
    <w:rsid w:val="005E5065"/>
    <w:rsid w:val="005E7B99"/>
    <w:rsid w:val="005F1A9E"/>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A6213"/>
    <w:rsid w:val="006B22B2"/>
    <w:rsid w:val="006B2302"/>
    <w:rsid w:val="006B4CFD"/>
    <w:rsid w:val="006B6233"/>
    <w:rsid w:val="006C7A5F"/>
    <w:rsid w:val="006C7E44"/>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B3CDE"/>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8609A"/>
    <w:rsid w:val="009A5B89"/>
    <w:rsid w:val="009C04C0"/>
    <w:rsid w:val="009C52CF"/>
    <w:rsid w:val="009D1A88"/>
    <w:rsid w:val="009D2237"/>
    <w:rsid w:val="009D233D"/>
    <w:rsid w:val="009D3F26"/>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70BAE"/>
    <w:rsid w:val="00B7315F"/>
    <w:rsid w:val="00B767E0"/>
    <w:rsid w:val="00B97C38"/>
    <w:rsid w:val="00BA1B72"/>
    <w:rsid w:val="00BA745F"/>
    <w:rsid w:val="00BB143A"/>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1982"/>
    <w:rsid w:val="00D23DDF"/>
    <w:rsid w:val="00D24DDF"/>
    <w:rsid w:val="00D34416"/>
    <w:rsid w:val="00D35B3E"/>
    <w:rsid w:val="00D40D58"/>
    <w:rsid w:val="00D431C0"/>
    <w:rsid w:val="00D4635A"/>
    <w:rsid w:val="00D545BE"/>
    <w:rsid w:val="00D5498C"/>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34B7"/>
    <w:rsid w:val="00DE6BBA"/>
    <w:rsid w:val="00DF617A"/>
    <w:rsid w:val="00E03F78"/>
    <w:rsid w:val="00E21617"/>
    <w:rsid w:val="00E21E6F"/>
    <w:rsid w:val="00E322F0"/>
    <w:rsid w:val="00E45264"/>
    <w:rsid w:val="00E55257"/>
    <w:rsid w:val="00E622C0"/>
    <w:rsid w:val="00E6416D"/>
    <w:rsid w:val="00E64BAF"/>
    <w:rsid w:val="00E77924"/>
    <w:rsid w:val="00E81F59"/>
    <w:rsid w:val="00E839CE"/>
    <w:rsid w:val="00E91DDC"/>
    <w:rsid w:val="00E92294"/>
    <w:rsid w:val="00E928EA"/>
    <w:rsid w:val="00E97B21"/>
    <w:rsid w:val="00EA0A61"/>
    <w:rsid w:val="00EA2A20"/>
    <w:rsid w:val="00EA2B80"/>
    <w:rsid w:val="00EA4627"/>
    <w:rsid w:val="00EA6654"/>
    <w:rsid w:val="00EB54D2"/>
    <w:rsid w:val="00EC49A3"/>
    <w:rsid w:val="00ED3E28"/>
    <w:rsid w:val="00ED6D99"/>
    <w:rsid w:val="00ED727B"/>
    <w:rsid w:val="00EE390B"/>
    <w:rsid w:val="00EE550E"/>
    <w:rsid w:val="00EE74F6"/>
    <w:rsid w:val="00EF2086"/>
    <w:rsid w:val="00EF4261"/>
    <w:rsid w:val="00F048EC"/>
    <w:rsid w:val="00F05A09"/>
    <w:rsid w:val="00F14A7C"/>
    <w:rsid w:val="00F21697"/>
    <w:rsid w:val="00F34819"/>
    <w:rsid w:val="00F4173F"/>
    <w:rsid w:val="00F4551C"/>
    <w:rsid w:val="00F70F35"/>
    <w:rsid w:val="00F805E1"/>
    <w:rsid w:val="00F8116C"/>
    <w:rsid w:val="00F818D6"/>
    <w:rsid w:val="00F85F2B"/>
    <w:rsid w:val="00F91A78"/>
    <w:rsid w:val="00F92DD8"/>
    <w:rsid w:val="00FA52B9"/>
    <w:rsid w:val="00FA6C1E"/>
    <w:rsid w:val="00FB1547"/>
    <w:rsid w:val="00FB498F"/>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8193"/>
    <o:shapelayout v:ext="edit">
      <o:idmap v:ext="edit" data="1"/>
    </o:shapelayout>
  </w:shapeDefaults>
  <w:decimalSymbol w:val="."/>
  <w:listSeparator w:val=","/>
  <w14:docId w14:val="63952A1D"/>
  <w15:docId w15:val="{9291778F-5DDA-4019-8AC8-AAF012BAF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9"/>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9"/>
      </w:numPr>
      <w:outlineLvl w:val="5"/>
    </w:pPr>
    <w:rPr>
      <w:lang w:val="en-US"/>
    </w:rPr>
  </w:style>
  <w:style w:type="paragraph" w:styleId="Heading7">
    <w:name w:val="heading 7"/>
    <w:basedOn w:val="BodyText"/>
    <w:next w:val="BodyText"/>
    <w:rsid w:val="0003232D"/>
    <w:pPr>
      <w:numPr>
        <w:ilvl w:val="6"/>
        <w:numId w:val="19"/>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9"/>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9"/>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5"/>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uiPriority w:val="99"/>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4"/>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4"/>
      </w:numPr>
    </w:pPr>
  </w:style>
  <w:style w:type="paragraph" w:customStyle="1" w:styleId="Appendix3">
    <w:name w:val="Appendix 3"/>
    <w:basedOn w:val="Heading3"/>
    <w:next w:val="BodyText"/>
    <w:link w:val="Appendix3Char"/>
    <w:rsid w:val="00D35B3E"/>
    <w:pPr>
      <w:numPr>
        <w:numId w:val="14"/>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7"/>
      </w:numPr>
      <w:spacing w:before="40" w:after="40"/>
    </w:pPr>
    <w:rPr>
      <w:szCs w:val="22"/>
    </w:rPr>
  </w:style>
  <w:style w:type="paragraph" w:customStyle="1" w:styleId="Bulletdash">
    <w:name w:val="Bullet dash"/>
    <w:basedOn w:val="BodyText"/>
    <w:link w:val="BulletdashChar"/>
    <w:rsid w:val="00045ECF"/>
    <w:pPr>
      <w:numPr>
        <w:ilvl w:val="1"/>
        <w:numId w:val="17"/>
      </w:numPr>
      <w:spacing w:before="40" w:after="40"/>
    </w:pPr>
    <w:rPr>
      <w:szCs w:val="22"/>
    </w:rPr>
  </w:style>
  <w:style w:type="paragraph" w:customStyle="1" w:styleId="Bulletopencircle">
    <w:name w:val="Bullet open circle"/>
    <w:basedOn w:val="BodyText"/>
    <w:link w:val="BulletopencircleChar"/>
    <w:rsid w:val="00045ECF"/>
    <w:pPr>
      <w:numPr>
        <w:ilvl w:val="2"/>
        <w:numId w:val="17"/>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20"/>
      </w:numPr>
      <w:spacing w:before="40" w:after="40"/>
    </w:pPr>
    <w:rPr>
      <w:szCs w:val="22"/>
      <w:lang w:eastAsia="en-AU"/>
    </w:rPr>
  </w:style>
  <w:style w:type="paragraph" w:customStyle="1" w:styleId="Tablebulletdash">
    <w:name w:val="Table bullet dash"/>
    <w:basedOn w:val="TableText"/>
    <w:rsid w:val="00045ECF"/>
    <w:pPr>
      <w:numPr>
        <w:ilvl w:val="1"/>
        <w:numId w:val="20"/>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1"/>
      </w:numPr>
    </w:pPr>
  </w:style>
  <w:style w:type="numbering" w:styleId="1ai">
    <w:name w:val="Outline List 1"/>
    <w:basedOn w:val="NoList"/>
    <w:semiHidden/>
    <w:rsid w:val="007E6A6E"/>
    <w:pPr>
      <w:numPr>
        <w:numId w:val="12"/>
      </w:numPr>
    </w:pPr>
  </w:style>
  <w:style w:type="numbering" w:styleId="ArticleSection">
    <w:name w:val="Outline List 3"/>
    <w:basedOn w:val="NoList"/>
    <w:semiHidden/>
    <w:rsid w:val="007E6A6E"/>
    <w:pPr>
      <w:numPr>
        <w:numId w:val="13"/>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31"/>
      </w:numPr>
      <w:ind w:left="1134" w:hanging="425"/>
    </w:pPr>
  </w:style>
  <w:style w:type="paragraph" w:styleId="ListBullet2">
    <w:name w:val="List Bullet 2"/>
    <w:basedOn w:val="Normal"/>
    <w:autoRedefine/>
    <w:rsid w:val="007E6A6E"/>
    <w:pPr>
      <w:numPr>
        <w:numId w:val="2"/>
      </w:numPr>
    </w:pPr>
  </w:style>
  <w:style w:type="paragraph" w:styleId="ListBullet3">
    <w:name w:val="List Bullet 3"/>
    <w:basedOn w:val="Normal"/>
    <w:autoRedefine/>
    <w:rsid w:val="007E6A6E"/>
    <w:pPr>
      <w:numPr>
        <w:numId w:val="3"/>
      </w:numPr>
    </w:pPr>
  </w:style>
  <w:style w:type="paragraph" w:styleId="ListBullet4">
    <w:name w:val="List Bullet 4"/>
    <w:basedOn w:val="Normal"/>
    <w:autoRedefine/>
    <w:rsid w:val="007E6A6E"/>
    <w:pPr>
      <w:numPr>
        <w:numId w:val="4"/>
      </w:numPr>
    </w:pPr>
  </w:style>
  <w:style w:type="paragraph" w:styleId="ListBullet5">
    <w:name w:val="List Bullet 5"/>
    <w:basedOn w:val="Normal"/>
    <w:autoRedefine/>
    <w:rsid w:val="007E6A6E"/>
    <w:pPr>
      <w:numPr>
        <w:numId w:val="5"/>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6"/>
      </w:numPr>
    </w:pPr>
  </w:style>
  <w:style w:type="paragraph" w:styleId="ListNumber2">
    <w:name w:val="List Number 2"/>
    <w:basedOn w:val="Normal"/>
    <w:rsid w:val="007E6A6E"/>
    <w:pPr>
      <w:numPr>
        <w:numId w:val="7"/>
      </w:numPr>
    </w:pPr>
  </w:style>
  <w:style w:type="paragraph" w:styleId="ListNumber3">
    <w:name w:val="List Number 3"/>
    <w:basedOn w:val="Normal"/>
    <w:rsid w:val="007E6A6E"/>
    <w:pPr>
      <w:numPr>
        <w:numId w:val="8"/>
      </w:numPr>
    </w:pPr>
  </w:style>
  <w:style w:type="paragraph" w:styleId="ListNumber4">
    <w:name w:val="List Number 4"/>
    <w:basedOn w:val="Normal"/>
    <w:rsid w:val="007E6A6E"/>
    <w:pPr>
      <w:numPr>
        <w:numId w:val="9"/>
      </w:numPr>
    </w:pPr>
  </w:style>
  <w:style w:type="paragraph" w:styleId="ListNumber5">
    <w:name w:val="List Number 5"/>
    <w:basedOn w:val="Normal"/>
    <w:rsid w:val="007E6A6E"/>
    <w:pPr>
      <w:numPr>
        <w:numId w:val="10"/>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6"/>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uiPriority w:val="99"/>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8"/>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bidi="ar-SA"/>
    </w:rPr>
  </w:style>
  <w:style w:type="character" w:customStyle="1" w:styleId="Bullet3Char">
    <w:name w:val="Bullet3 Char"/>
    <w:link w:val="Bullet3"/>
    <w:rsid w:val="00702C47"/>
    <w:rPr>
      <w:rFonts w:ascii="Arial" w:hAnsi="Arial"/>
      <w:sz w:val="22"/>
      <w:szCs w:val="22"/>
      <w:lang w:val="en-AU" w:eastAsia="en-AU" w:bidi="ar-SA"/>
    </w:rPr>
  </w:style>
  <w:style w:type="character" w:customStyle="1" w:styleId="BulletdashChar">
    <w:name w:val="Bullet dash Char"/>
    <w:link w:val="Bulletdash"/>
    <w:rsid w:val="00702C47"/>
    <w:rPr>
      <w:rFonts w:ascii="Arial" w:hAnsi="Arial"/>
      <w:sz w:val="22"/>
      <w:szCs w:val="22"/>
      <w:lang w:val="en-AU" w:eastAsia="en-AU" w:bidi="ar-SA"/>
    </w:rPr>
  </w:style>
  <w:style w:type="character" w:customStyle="1" w:styleId="Bullet2Char">
    <w:name w:val="Bullet2 Char"/>
    <w:link w:val="Bullet2"/>
    <w:rsid w:val="00702C47"/>
    <w:rPr>
      <w:rFonts w:ascii="Arial" w:hAnsi="Arial"/>
      <w:sz w:val="22"/>
      <w:szCs w:val="22"/>
      <w:lang w:val="en-AU" w:eastAsia="en-AU" w:bidi="ar-SA"/>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30"/>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766CCB"/>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Bold" w:hAnsi="Arial Bold" w:cs="Arial"/>
      <w:b/>
      <w:bCs/>
      <w:snapToGrid/>
      <w:color w:val="004068"/>
      <w:kern w:val="28"/>
      <w:sz w:val="36"/>
      <w:szCs w:val="28"/>
      <w:shd w:val="clear" w:color="auto" w:fill="FFFFFF"/>
      <w:lang w:eastAsia="en-US"/>
    </w:rPr>
  </w:style>
  <w:style w:type="character" w:customStyle="1" w:styleId="AppendixChar">
    <w:name w:val="Appendix Char"/>
    <w:basedOn w:val="Appendix1Char"/>
    <w:link w:val="Appendix"/>
    <w:rsid w:val="00766CCB"/>
    <w:rPr>
      <w:rFonts w:ascii="Arial Bold" w:hAnsi="Arial Bold" w:cs="Arial"/>
      <w:b/>
      <w:bCs/>
      <w:snapToGrid/>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26"/>
      </w:numPr>
    </w:pPr>
  </w:style>
  <w:style w:type="character" w:customStyle="1" w:styleId="BodytextChar0">
    <w:name w:val="Body text Char"/>
    <w:basedOn w:val="BodyTextChar"/>
    <w:link w:val="BodyText1"/>
    <w:rsid w:val="00766CCB"/>
    <w:rPr>
      <w:rFonts w:ascii="Arial" w:hAnsi="Arial"/>
      <w:sz w:val="22"/>
    </w:rPr>
  </w:style>
  <w:style w:type="paragraph" w:customStyle="1" w:styleId="Numberlist1">
    <w:name w:val="Number list 1"/>
    <w:basedOn w:val="Bullet3"/>
    <w:link w:val="Numberlist1Char"/>
    <w:autoRedefine/>
    <w:qFormat/>
    <w:rsid w:val="00766CCB"/>
    <w:pPr>
      <w:numPr>
        <w:ilvl w:val="0"/>
        <w:numId w:val="32"/>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32"/>
      </w:numPr>
      <w:ind w:left="1559" w:hanging="425"/>
    </w:pPr>
  </w:style>
  <w:style w:type="character" w:customStyle="1" w:styleId="Numberlist1Char">
    <w:name w:val="Number list 1 Char"/>
    <w:basedOn w:val="Bullet3Char"/>
    <w:link w:val="Numberlist1"/>
    <w:rsid w:val="00766CCB"/>
    <w:rPr>
      <w:rFonts w:ascii="Arial" w:hAnsi="Arial"/>
      <w:sz w:val="22"/>
      <w:szCs w:val="22"/>
      <w:lang w:val="en-AU" w:eastAsia="en-AU" w:bidi="ar-SA"/>
    </w:rPr>
  </w:style>
  <w:style w:type="paragraph" w:customStyle="1" w:styleId="Numberlist3">
    <w:name w:val="Number list 3"/>
    <w:basedOn w:val="Bullet3"/>
    <w:link w:val="Numberlist3Char"/>
    <w:qFormat/>
    <w:rsid w:val="00766CCB"/>
    <w:pPr>
      <w:numPr>
        <w:numId w:val="32"/>
      </w:numPr>
      <w:ind w:left="1984" w:hanging="425"/>
    </w:pPr>
  </w:style>
  <w:style w:type="character" w:customStyle="1" w:styleId="Numberlist2Char">
    <w:name w:val="Number list 2 Char"/>
    <w:basedOn w:val="Bullet3Char"/>
    <w:link w:val="Numberlist2"/>
    <w:rsid w:val="00766CCB"/>
    <w:rPr>
      <w:rFonts w:ascii="Arial" w:hAnsi="Arial"/>
      <w:sz w:val="22"/>
      <w:szCs w:val="22"/>
      <w:lang w:val="en-AU" w:eastAsia="en-AU" w:bidi="ar-SA"/>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lang w:val="en-AU" w:eastAsia="en-AU" w:bidi="ar-SA"/>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Bold" w:hAnsi="Arial Bold" w:cs="Arial"/>
      <w:b/>
      <w:bCs w:val="0"/>
      <w:snapToGrid/>
      <w:color w:val="336699"/>
      <w:kern w:val="24"/>
      <w:sz w:val="22"/>
      <w:szCs w:val="24"/>
      <w:lang w:eastAsia="en-US"/>
    </w:rPr>
  </w:style>
  <w:style w:type="character" w:customStyle="1" w:styleId="Appendix3Char">
    <w:name w:val="Appendix 3 Char"/>
    <w:basedOn w:val="Heading3Char"/>
    <w:link w:val="Appendix3"/>
    <w:rsid w:val="00766CCB"/>
    <w:rPr>
      <w:rFonts w:ascii="Arial Bold" w:hAnsi="Arial Bold" w:cs="Arial"/>
      <w:b/>
      <w:bCs w:val="0"/>
      <w:snapToGrid/>
      <w:color w:val="336699"/>
      <w:kern w:val="24"/>
      <w:sz w:val="22"/>
      <w:szCs w:val="24"/>
      <w:lang w:eastAsia="en-US"/>
    </w:rPr>
  </w:style>
  <w:style w:type="character" w:customStyle="1" w:styleId="Appendixlvl3Char">
    <w:name w:val="Appendix lvl 3 Char"/>
    <w:basedOn w:val="Appendix3Char"/>
    <w:link w:val="Appendixlvl3"/>
    <w:rsid w:val="00766CCB"/>
    <w:rPr>
      <w:rFonts w:ascii="Arial Bold" w:hAnsi="Arial Bold" w:cs="Arial"/>
      <w:b/>
      <w:bCs w:val="0"/>
      <w:snapToGrid/>
      <w:color w:val="336699"/>
      <w:kern w:val="24"/>
      <w:sz w:val="22"/>
      <w:szCs w:val="24"/>
      <w:lang w:eastAsia="en-US"/>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Bold" w:hAnsi="Arial Bold" w:cs="Arial"/>
      <w:b/>
      <w:bCs w:val="0"/>
      <w:snapToGrid/>
      <w:color w:val="336699"/>
      <w:kern w:val="28"/>
      <w:sz w:val="28"/>
      <w:szCs w:val="32"/>
      <w:lang w:eastAsia="en-US"/>
    </w:rPr>
  </w:style>
  <w:style w:type="character" w:customStyle="1" w:styleId="Appendixlvl2Char">
    <w:name w:val="Appendix lvl 2 Char"/>
    <w:basedOn w:val="Appendix2Char"/>
    <w:link w:val="Appendixlvl2"/>
    <w:rsid w:val="00FA6C1E"/>
    <w:rPr>
      <w:rFonts w:ascii="Arial" w:hAnsi="Arial" w:cs="Arial"/>
      <w:b/>
      <w:bCs w:val="0"/>
      <w:snapToGrid/>
      <w:color w:val="555555"/>
      <w:kern w:val="28"/>
      <w:sz w:val="28"/>
      <w:szCs w:val="32"/>
      <w:lang w:eastAsia="en-US"/>
    </w:rPr>
  </w:style>
  <w:style w:type="character" w:customStyle="1" w:styleId="Appendix4Char">
    <w:name w:val="Appendix 4 Char"/>
    <w:basedOn w:val="Appendix3Char"/>
    <w:link w:val="Appendix4"/>
    <w:semiHidden/>
    <w:rsid w:val="00766CCB"/>
    <w:rPr>
      <w:rFonts w:ascii="Arial Bold" w:hAnsi="Arial Bold" w:cs="Arial"/>
      <w:b w:val="0"/>
      <w:bCs w:val="0"/>
      <w:i/>
      <w:snapToGrid/>
      <w:color w:val="336699"/>
      <w:kern w:val="24"/>
      <w:sz w:val="22"/>
      <w:szCs w:val="24"/>
      <w:lang w:val="en-US" w:eastAsia="en-US"/>
    </w:rPr>
  </w:style>
  <w:style w:type="character" w:customStyle="1" w:styleId="Appendixlvl4Char">
    <w:name w:val="Appendix lvl 4 Char"/>
    <w:basedOn w:val="Appendix4Char"/>
    <w:link w:val="Appendixlvl4"/>
    <w:rsid w:val="00766CCB"/>
    <w:rPr>
      <w:rFonts w:ascii="Arial Bold" w:hAnsi="Arial Bold" w:cs="Arial"/>
      <w:b w:val="0"/>
      <w:bCs w:val="0"/>
      <w:i/>
      <w:snapToGrid/>
      <w:color w:val="336699"/>
      <w:kern w:val="24"/>
      <w:sz w:val="22"/>
      <w:szCs w:val="24"/>
      <w:lang w:val="en-US" w:eastAsia="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character" w:customStyle="1" w:styleId="BodyText1Char">
    <w:name w:val="Body Text1 Char"/>
    <w:basedOn w:val="BodyTextChar"/>
    <w:rsid w:val="006A6213"/>
    <w:rPr>
      <w:rFonts w:ascii="Arial" w:hAnsi="Arial" w:cs="Arial"/>
      <w:color w:val="000000" w:themeColor="text1"/>
      <w:sz w:val="22"/>
      <w:szCs w:val="22"/>
      <w:lang w:val="en-US"/>
    </w:rPr>
  </w:style>
  <w:style w:type="paragraph" w:styleId="EndnoteText">
    <w:name w:val="endnote text"/>
    <w:basedOn w:val="Normal"/>
    <w:link w:val="EndnoteTextChar"/>
    <w:unhideWhenUsed/>
    <w:rsid w:val="006A6213"/>
    <w:pPr>
      <w:spacing w:before="0" w:line="240" w:lineRule="auto"/>
    </w:pPr>
    <w:rPr>
      <w:sz w:val="20"/>
    </w:rPr>
  </w:style>
  <w:style w:type="character" w:customStyle="1" w:styleId="EndnoteTextChar">
    <w:name w:val="Endnote Text Char"/>
    <w:basedOn w:val="DefaultParagraphFont"/>
    <w:link w:val="EndnoteText"/>
    <w:rsid w:val="006A6213"/>
    <w:rPr>
      <w:rFonts w:ascii="Arial" w:hAnsi="Arial"/>
      <w:lang w:eastAsia="en-US"/>
    </w:rPr>
  </w:style>
  <w:style w:type="character" w:styleId="EndnoteReference">
    <w:name w:val="endnote reference"/>
    <w:basedOn w:val="DefaultParagraphFont"/>
    <w:unhideWhenUsed/>
    <w:rsid w:val="006A6213"/>
    <w:rPr>
      <w:vertAlign w:val="superscript"/>
    </w:rPr>
  </w:style>
  <w:style w:type="character" w:customStyle="1" w:styleId="normaltextrun">
    <w:name w:val="normaltextrun"/>
    <w:basedOn w:val="DefaultParagraphFont"/>
    <w:rsid w:val="006A6213"/>
  </w:style>
  <w:style w:type="paragraph" w:styleId="ListParagraph">
    <w:name w:val="List Paragraph"/>
    <w:basedOn w:val="Normal"/>
    <w:link w:val="ListParagraphChar"/>
    <w:uiPriority w:val="34"/>
    <w:rsid w:val="00D21982"/>
    <w:pPr>
      <w:ind w:left="720"/>
      <w:contextualSpacing/>
    </w:pPr>
  </w:style>
  <w:style w:type="paragraph" w:customStyle="1" w:styleId="tablebullet">
    <w:name w:val="table bullet"/>
    <w:basedOn w:val="ListParagraph"/>
    <w:link w:val="tablebulletChar"/>
    <w:qFormat/>
    <w:rsid w:val="00D21982"/>
    <w:pPr>
      <w:numPr>
        <w:numId w:val="34"/>
      </w:numPr>
      <w:ind w:left="350"/>
    </w:pPr>
    <w:rPr>
      <w:sz w:val="20"/>
    </w:rPr>
  </w:style>
  <w:style w:type="paragraph" w:customStyle="1" w:styleId="tablebullet2">
    <w:name w:val="table bullet2"/>
    <w:basedOn w:val="tablebullet"/>
    <w:link w:val="tablebullet2Char"/>
    <w:qFormat/>
    <w:rsid w:val="00D5498C"/>
    <w:pPr>
      <w:numPr>
        <w:ilvl w:val="1"/>
      </w:numPr>
      <w:ind w:left="764" w:hanging="445"/>
    </w:pPr>
  </w:style>
  <w:style w:type="character" w:customStyle="1" w:styleId="ListParagraphChar">
    <w:name w:val="List Paragraph Char"/>
    <w:basedOn w:val="DefaultParagraphFont"/>
    <w:link w:val="ListParagraph"/>
    <w:uiPriority w:val="34"/>
    <w:rsid w:val="00D21982"/>
    <w:rPr>
      <w:rFonts w:ascii="Arial" w:hAnsi="Arial"/>
      <w:sz w:val="22"/>
      <w:lang w:eastAsia="en-US"/>
    </w:rPr>
  </w:style>
  <w:style w:type="character" w:customStyle="1" w:styleId="tablebulletChar">
    <w:name w:val="table bullet Char"/>
    <w:basedOn w:val="ListParagraphChar"/>
    <w:link w:val="tablebullet"/>
    <w:rsid w:val="00D21982"/>
    <w:rPr>
      <w:rFonts w:ascii="Arial" w:hAnsi="Arial"/>
      <w:sz w:val="22"/>
      <w:lang w:eastAsia="en-US"/>
    </w:rPr>
  </w:style>
  <w:style w:type="table" w:styleId="GridTable1Light">
    <w:name w:val="Grid Table 1 Light"/>
    <w:basedOn w:val="TableNormal"/>
    <w:uiPriority w:val="46"/>
    <w:rsid w:val="004748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lebullet2Char">
    <w:name w:val="table bullet2 Char"/>
    <w:basedOn w:val="tablebulletChar"/>
    <w:link w:val="tablebullet2"/>
    <w:rsid w:val="00D5498C"/>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package" Target="embeddings/Microsoft_Visio_Drawing3.vsd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package" Target="embeddings/Microsoft_Visio_Drawing4.vsdx"/><Relationship Id="rId47" Type="http://schemas.openxmlformats.org/officeDocument/2006/relationships/image" Target="media/image2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hyperlink" Target="https://www.qgcio.qld.gov.au/products/qgea-documents/549-information-security/2415-queensland-government-authentication-framework"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package" Target="embeddings/Microsoft_Visio_Drawing6.vsdx"/><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package" Target="embeddings/Microsoft_Visio_Drawing2.vsdx"/><Relationship Id="rId40" Type="http://schemas.openxmlformats.org/officeDocument/2006/relationships/image" Target="media/image22.png"/><Relationship Id="rId45"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package" Target="embeddings/Microsoft_Visio_Drawing.vsdx"/><Relationship Id="rId31" Type="http://schemas.openxmlformats.org/officeDocument/2006/relationships/image" Target="media/image16.emf"/><Relationship Id="rId44" Type="http://schemas.openxmlformats.org/officeDocument/2006/relationships/package" Target="embeddings/Microsoft_Visio_Drawing5.vsdx"/><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package" Target="embeddings/Microsoft_Visio_Drawing1.vsdx"/><Relationship Id="rId43" Type="http://schemas.openxmlformats.org/officeDocument/2006/relationships/image" Target="media/image24.emf"/><Relationship Id="rId48" Type="http://schemas.openxmlformats.org/officeDocument/2006/relationships/package" Target="embeddings/Microsoft_Visio_Drawing7.vsdx"/><Relationship Id="rId8" Type="http://schemas.openxmlformats.org/officeDocument/2006/relationships/hyperlink" Target="mailto:qgcio@qgcio.qld.gov.au"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nd%20Governance\QGEA\00.%20QGEA%20Gov%20Admin\Approved%20QGEA%20templates\01%20CURRENT%20TEMPLATES\TEMPLATE-QGEA_long_documen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71F3C-F4C5-4532-97F6-E895FD95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TEMPLATE-QGEA_long_document2016</Template>
  <TotalTime>0</TotalTime>
  <Pages>50</Pages>
  <Words>14928</Words>
  <Characters>85092</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99821</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2</cp:revision>
  <cp:lastPrinted>2011-02-16T03:33:00Z</cp:lastPrinted>
  <dcterms:created xsi:type="dcterms:W3CDTF">2017-06-05T06:52:00Z</dcterms:created>
  <dcterms:modified xsi:type="dcterms:W3CDTF">2017-06-05T06:52:00Z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