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EB" w:rsidRPr="006B4F6A" w:rsidRDefault="00384FEB" w:rsidP="00384FEB">
      <w:pPr>
        <w:pStyle w:val="QGEA"/>
      </w:pPr>
      <w:smartTag w:uri="urn:schemas-microsoft-com:office:smarttags" w:element="State">
        <w:r w:rsidRPr="006B4F6A">
          <w:t>Queensland</w:t>
        </w:r>
      </w:smartTag>
      <w:r w:rsidRPr="006B4F6A">
        <w:t xml:space="preserve"> Government </w:t>
      </w:r>
      <w:smartTag w:uri="urn:schemas-microsoft-com:office:smarttags" w:element="place">
        <w:smartTag w:uri="urn:schemas-microsoft-com:office:smarttags" w:element="City">
          <w:r w:rsidRPr="006B4F6A">
            <w:t>Enterprise</w:t>
          </w:r>
        </w:smartTag>
      </w:smartTag>
      <w:r w:rsidRPr="006B4F6A">
        <w:t xml:space="preserve"> Architecture</w:t>
      </w:r>
    </w:p>
    <w:p w:rsidR="00384FEB" w:rsidRDefault="00B62A7A" w:rsidP="00384FEB">
      <w:pPr>
        <w:pStyle w:val="Titlepageheading"/>
        <w:pBdr>
          <w:bottom w:val="none" w:sz="0" w:space="0" w:color="auto"/>
        </w:pBdr>
        <w:spacing w:before="240"/>
      </w:pPr>
      <w:r>
        <w:t>Federated identity blueprint</w:t>
      </w:r>
    </w:p>
    <w:p w:rsidR="00A049F6" w:rsidRPr="00384FEB" w:rsidRDefault="004766CA" w:rsidP="00766CCB">
      <w:pPr>
        <w:rPr>
          <w:sz w:val="30"/>
          <w:szCs w:val="30"/>
        </w:rPr>
      </w:pPr>
      <w:r>
        <w:rPr>
          <w:sz w:val="30"/>
          <w:szCs w:val="30"/>
        </w:rPr>
        <w:t>Process</w:t>
      </w:r>
      <w:r w:rsidR="009D7129">
        <w:rPr>
          <w:sz w:val="30"/>
          <w:szCs w:val="30"/>
        </w:rPr>
        <w:t xml:space="preserve"> models</w:t>
      </w:r>
    </w:p>
    <w:p w:rsidR="005E7B99" w:rsidRPr="00384FEB" w:rsidRDefault="005E7B99" w:rsidP="006517B2">
      <w:pPr>
        <w:spacing w:before="360" w:after="240" w:line="264" w:lineRule="auto"/>
        <w:rPr>
          <w:rFonts w:cs="Arial"/>
          <w:color w:val="4D4D4D"/>
          <w:sz w:val="30"/>
          <w:szCs w:val="30"/>
        </w:rPr>
      </w:pPr>
    </w:p>
    <w:p w:rsidR="005E7B99" w:rsidRDefault="005E7B99"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384FEB" w:rsidP="006517B2">
      <w:pPr>
        <w:spacing w:before="360" w:after="240" w:line="264" w:lineRule="auto"/>
        <w:rPr>
          <w:rFonts w:cs="Arial"/>
          <w:color w:val="4D4D4D"/>
          <w:sz w:val="30"/>
          <w:szCs w:val="30"/>
        </w:rPr>
      </w:pPr>
    </w:p>
    <w:p w:rsidR="00384FEB" w:rsidRDefault="00B62A7A" w:rsidP="00384FEB">
      <w:pPr>
        <w:pStyle w:val="TitlePageOptionalTextLine"/>
        <w:spacing w:before="180" w:after="60" w:line="264" w:lineRule="auto"/>
        <w:rPr>
          <w:color w:val="595959"/>
        </w:rPr>
      </w:pPr>
      <w:r>
        <w:rPr>
          <w:color w:val="336699"/>
        </w:rPr>
        <w:t>Final</w:t>
      </w:r>
    </w:p>
    <w:p w:rsidR="003E716D" w:rsidRPr="00384FEB" w:rsidRDefault="00B62A7A" w:rsidP="00384FEB">
      <w:pPr>
        <w:spacing w:before="180" w:after="60" w:line="264" w:lineRule="auto"/>
        <w:rPr>
          <w:color w:val="336699"/>
          <w:sz w:val="30"/>
          <w:szCs w:val="24"/>
        </w:rPr>
      </w:pPr>
      <w:r>
        <w:rPr>
          <w:color w:val="336699"/>
          <w:sz w:val="30"/>
          <w:szCs w:val="24"/>
        </w:rPr>
        <w:t>May 2017</w:t>
      </w:r>
    </w:p>
    <w:p w:rsidR="00A049F6" w:rsidRPr="00384FEB" w:rsidRDefault="00B62A7A" w:rsidP="00384FEB">
      <w:pPr>
        <w:spacing w:before="180" w:after="60" w:line="264" w:lineRule="auto"/>
        <w:rPr>
          <w:color w:val="336699"/>
          <w:sz w:val="30"/>
          <w:szCs w:val="24"/>
        </w:rPr>
      </w:pPr>
      <w:r>
        <w:rPr>
          <w:color w:val="336699"/>
          <w:sz w:val="30"/>
          <w:szCs w:val="24"/>
        </w:rPr>
        <w:t>V1.0.0</w:t>
      </w:r>
    </w:p>
    <w:p w:rsidR="00EF2086" w:rsidRPr="009142A2" w:rsidRDefault="00EF2086" w:rsidP="006517B2">
      <w:pPr>
        <w:spacing w:before="360" w:after="240" w:line="264" w:lineRule="auto"/>
      </w:pPr>
    </w:p>
    <w:p w:rsidR="00EF2086" w:rsidRPr="00384FEB" w:rsidRDefault="00B62A7A" w:rsidP="00384FEB">
      <w:pPr>
        <w:spacing w:before="180" w:after="60" w:line="264" w:lineRule="auto"/>
        <w:rPr>
          <w:color w:val="336699"/>
          <w:sz w:val="30"/>
          <w:szCs w:val="24"/>
        </w:rPr>
      </w:pPr>
      <w:r>
        <w:rPr>
          <w:color w:val="336699"/>
          <w:sz w:val="30"/>
          <w:szCs w:val="24"/>
        </w:rPr>
        <w:t>PUBLIC</w:t>
      </w:r>
    </w:p>
    <w:p w:rsidR="00506597" w:rsidRDefault="00506597" w:rsidP="00766CCB">
      <w:r>
        <w:br w:type="page"/>
      </w:r>
    </w:p>
    <w:p w:rsidR="00C40C29" w:rsidRPr="00831408" w:rsidRDefault="00C40C29" w:rsidP="00B12183">
      <w:pPr>
        <w:pStyle w:val="Heading2nonumber"/>
      </w:pPr>
      <w:r w:rsidRPr="00831408">
        <w:lastRenderedPageBreak/>
        <w:t>Document details</w:t>
      </w:r>
    </w:p>
    <w:tbl>
      <w:tblPr>
        <w:tblStyle w:val="Table-LowInk"/>
        <w:tblW w:w="0" w:type="auto"/>
        <w:tblInd w:w="6" w:type="dxa"/>
        <w:tblBorders>
          <w:top w:val="single" w:sz="12" w:space="0" w:color="C0C0C0"/>
          <w:bottom w:val="single" w:sz="12" w:space="0" w:color="C0C0C0"/>
        </w:tblBorders>
        <w:tblLook w:val="01C0" w:firstRow="0" w:lastRow="1" w:firstColumn="1" w:lastColumn="1" w:noHBand="0" w:noVBand="0"/>
      </w:tblPr>
      <w:tblGrid>
        <w:gridCol w:w="2635"/>
        <w:gridCol w:w="440"/>
        <w:gridCol w:w="1701"/>
        <w:gridCol w:w="344"/>
        <w:gridCol w:w="2382"/>
        <w:gridCol w:w="452"/>
        <w:gridCol w:w="1668"/>
      </w:tblGrid>
      <w:tr w:rsidR="006334ED" w:rsidRPr="00EE390B"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Security classification</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PUBLIC</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Date of review of security classification</w:t>
            </w:r>
          </w:p>
        </w:tc>
        <w:tc>
          <w:tcPr>
            <w:tcW w:w="7061" w:type="dxa"/>
            <w:gridSpan w:val="6"/>
          </w:tcPr>
          <w:p w:rsidR="006334ED" w:rsidRPr="000D5487" w:rsidRDefault="00B62A7A" w:rsidP="006517B2">
            <w:pPr>
              <w:pStyle w:val="TableText"/>
              <w:cnfStyle w:val="000000000000" w:firstRow="0" w:lastRow="0" w:firstColumn="0" w:lastColumn="0" w:oddVBand="0" w:evenVBand="0" w:oddHBand="0" w:evenHBand="0" w:firstRowFirstColumn="0" w:firstRowLastColumn="0" w:lastRowFirstColumn="0" w:lastRowLastColumn="0"/>
            </w:pPr>
            <w:r>
              <w:t>May 2017</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Authority</w:t>
            </w:r>
          </w:p>
        </w:tc>
        <w:tc>
          <w:tcPr>
            <w:tcW w:w="7061" w:type="dxa"/>
            <w:gridSpan w:val="6"/>
          </w:tcPr>
          <w:p w:rsidR="006334ED" w:rsidRPr="006D5D95" w:rsidRDefault="006334ED"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r>
              <w:t>r</w:t>
            </w:r>
          </w:p>
        </w:tc>
      </w:tr>
      <w:tr w:rsidR="006334ED" w:rsidTr="00BE083C">
        <w:tc>
          <w:tcPr>
            <w:cnfStyle w:val="001000000000" w:firstRow="0" w:lastRow="0" w:firstColumn="1" w:lastColumn="0" w:oddVBand="0" w:evenVBand="0" w:oddHBand="0" w:evenHBand="0" w:firstRowFirstColumn="0" w:firstRowLastColumn="0" w:lastRowFirstColumn="0" w:lastRowLastColumn="0"/>
            <w:tcW w:w="2693" w:type="dxa"/>
          </w:tcPr>
          <w:p w:rsidR="006334ED" w:rsidRPr="00BE083C" w:rsidRDefault="006334ED" w:rsidP="006517B2">
            <w:pPr>
              <w:pStyle w:val="TableText"/>
              <w:rPr>
                <w:b/>
              </w:rPr>
            </w:pPr>
            <w:r w:rsidRPr="00BE083C">
              <w:rPr>
                <w:b/>
              </w:rPr>
              <w:t>Author</w:t>
            </w:r>
          </w:p>
        </w:tc>
        <w:tc>
          <w:tcPr>
            <w:tcW w:w="7061" w:type="dxa"/>
            <w:gridSpan w:val="6"/>
          </w:tcPr>
          <w:p w:rsidR="006334ED" w:rsidRPr="006D5D95" w:rsidRDefault="00B62A7A" w:rsidP="006517B2">
            <w:pPr>
              <w:pStyle w:val="TableText"/>
              <w:cnfStyle w:val="000000000000" w:firstRow="0" w:lastRow="0" w:firstColumn="0" w:lastColumn="0" w:oddVBand="0" w:evenVBand="0" w:oddHBand="0" w:evenHBand="0" w:firstRowFirstColumn="0" w:firstRowLastColumn="0" w:lastRowFirstColumn="0" w:lastRowLastColumn="0"/>
            </w:pPr>
            <w:r w:rsidRPr="008B293E">
              <w:t>Queensland Government Chief Information Office</w:t>
            </w:r>
          </w:p>
        </w:tc>
      </w:tr>
      <w:tr w:rsidR="006334ED" w:rsidRPr="00EE390B" w:rsidTr="00BE08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BE083C" w:rsidRDefault="006334ED" w:rsidP="006517B2">
            <w:pPr>
              <w:pStyle w:val="TableText"/>
              <w:rPr>
                <w:b/>
              </w:rPr>
            </w:pPr>
            <w:r w:rsidRPr="00BE083C">
              <w:rPr>
                <w:b/>
              </w:rPr>
              <w:t>Documentation status</w:t>
            </w:r>
          </w:p>
        </w:tc>
        <w:tc>
          <w:tcPr>
            <w:tcW w:w="4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6517B2" w:rsidRDefault="006334ED" w:rsidP="006517B2">
            <w:pPr>
              <w:pStyle w:val="TableText"/>
              <w:cnfStyle w:val="010000000000" w:firstRow="0" w:lastRow="1" w:firstColumn="0" w:lastColumn="0" w:oddVBand="0" w:evenVBand="0" w:oddHBand="0" w:evenHBand="0" w:firstRowFirstColumn="0" w:firstRowLastColumn="0" w:lastRowFirstColumn="0" w:lastRowLastColumn="0"/>
              <w:rPr>
                <w:sz w:val="24"/>
                <w:szCs w:val="24"/>
              </w:rPr>
            </w:pPr>
          </w:p>
        </w:tc>
        <w:tc>
          <w:tcPr>
            <w:tcW w:w="1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F30414"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F30414">
              <w:t xml:space="preserve">Working </w:t>
            </w:r>
            <w:r>
              <w:t>d</w:t>
            </w:r>
            <w:r w:rsidRPr="00F30414">
              <w:t>raft</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p>
        </w:tc>
        <w:tc>
          <w:tcPr>
            <w:tcW w:w="24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Consultation release</w:t>
            </w:r>
          </w:p>
        </w:tc>
        <w:tc>
          <w:tcPr>
            <w:tcW w:w="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Pr="00EE390B" w:rsidRDefault="009855EB" w:rsidP="006517B2">
            <w:pPr>
              <w:pStyle w:val="TableText"/>
              <w:cnfStyle w:val="010000000000" w:firstRow="0" w:lastRow="1" w:firstColumn="0" w:lastColumn="0" w:oddVBand="0" w:evenVBand="0" w:oddHBand="0" w:evenHBand="0" w:firstRowFirstColumn="0" w:firstRowLastColumn="0" w:lastRowFirstColumn="0" w:lastRowLastColumn="0"/>
            </w:pPr>
            <w:r w:rsidRPr="006517B2">
              <w:rPr>
                <w:sz w:val="24"/>
                <w:szCs w:val="24"/>
              </w:rPr>
              <w:sym w:font="Wingdings" w:char="F0FE"/>
            </w:r>
          </w:p>
        </w:tc>
        <w:tc>
          <w:tcPr>
            <w:tcW w:w="171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334ED" w:rsidRDefault="006334ED" w:rsidP="006517B2">
            <w:pPr>
              <w:pStyle w:val="TableText"/>
              <w:cnfStyle w:val="010000000000" w:firstRow="0" w:lastRow="1" w:firstColumn="0" w:lastColumn="0" w:oddVBand="0" w:evenVBand="0" w:oddHBand="0" w:evenHBand="0" w:firstRowFirstColumn="0" w:firstRowLastColumn="0" w:lastRowFirstColumn="0" w:lastRowLastColumn="0"/>
            </w:pPr>
            <w:r w:rsidRPr="00EE390B">
              <w:t>Final version</w:t>
            </w:r>
          </w:p>
        </w:tc>
      </w:tr>
    </w:tbl>
    <w:p w:rsidR="00C40C29" w:rsidRPr="00831408" w:rsidRDefault="00C40C29" w:rsidP="00B12183">
      <w:pPr>
        <w:pStyle w:val="Heading2nonumber"/>
      </w:pPr>
      <w:r w:rsidRPr="00831408">
        <w:t>Contact for enquiries and proposed changes</w:t>
      </w:r>
    </w:p>
    <w:p w:rsidR="00C40C29" w:rsidRPr="00C40C29" w:rsidRDefault="00C40C29" w:rsidP="006517B2">
      <w:pPr>
        <w:pStyle w:val="Bodystylefordocumentdetails"/>
      </w:pPr>
      <w:r w:rsidRPr="00C40C29">
        <w:t>All enquiries regarding this document should be directed in the first instance to:</w:t>
      </w:r>
    </w:p>
    <w:p w:rsidR="007861C3" w:rsidRDefault="00B62A7A" w:rsidP="006517B2">
      <w:pPr>
        <w:pStyle w:val="Bodystylefordocumentdetails"/>
      </w:pPr>
      <w:r w:rsidRPr="008B293E">
        <w:t>Queensland Government Chief Information Office</w:t>
      </w:r>
      <w:r w:rsidR="007861C3" w:rsidRPr="008B293E">
        <w:rPr>
          <w:highlight w:val="yellow"/>
        </w:rPr>
        <w:br/>
      </w:r>
      <w:hyperlink r:id="rId8" w:history="1">
        <w:r w:rsidR="00EE5E12" w:rsidRPr="00A021EC">
          <w:rPr>
            <w:rStyle w:val="Hyperlink"/>
          </w:rPr>
          <w:t>qgcio@qgcio.qld.gov.au</w:t>
        </w:r>
      </w:hyperlink>
      <w:r w:rsidR="00EE5E12">
        <w:t xml:space="preserve"> </w:t>
      </w:r>
    </w:p>
    <w:p w:rsidR="00BB2720" w:rsidRPr="00831408" w:rsidRDefault="00BB2720" w:rsidP="00B12183">
      <w:pPr>
        <w:pStyle w:val="Heading2nonumber"/>
      </w:pPr>
      <w:r w:rsidRPr="00831408">
        <w:t>Acknowledgements</w:t>
      </w:r>
    </w:p>
    <w:p w:rsidR="00BB2720" w:rsidRPr="00C40C29" w:rsidRDefault="00BB2720" w:rsidP="006517B2">
      <w:pPr>
        <w:pStyle w:val="Bodystylefordocumentdetails"/>
      </w:pPr>
      <w:r w:rsidRPr="00C40C29">
        <w:t xml:space="preserve">This version of the </w:t>
      </w:r>
      <w:r w:rsidR="00EE5E12">
        <w:rPr>
          <w:i/>
        </w:rPr>
        <w:t xml:space="preserve">Federated identity blueprint </w:t>
      </w:r>
      <w:r w:rsidR="009D7129">
        <w:rPr>
          <w:i/>
        </w:rPr>
        <w:t>–</w:t>
      </w:r>
      <w:r w:rsidR="00EE5E12">
        <w:rPr>
          <w:i/>
        </w:rPr>
        <w:t xml:space="preserve"> </w:t>
      </w:r>
      <w:r w:rsidR="004766CA">
        <w:rPr>
          <w:i/>
        </w:rPr>
        <w:t>Process</w:t>
      </w:r>
      <w:r w:rsidR="009D7129">
        <w:rPr>
          <w:i/>
        </w:rPr>
        <w:t xml:space="preserve"> models</w:t>
      </w:r>
      <w:r w:rsidR="00754C94">
        <w:rPr>
          <w:i/>
        </w:rPr>
        <w:t xml:space="preserve"> </w:t>
      </w:r>
      <w:r w:rsidRPr="00C40C29">
        <w:t xml:space="preserve">was developed and updated </w:t>
      </w:r>
      <w:r w:rsidR="00B62A7A" w:rsidRPr="008B293E">
        <w:t>Queensland Government Chief Information Office</w:t>
      </w:r>
      <w:r w:rsidR="00B62A7A">
        <w:t>.</w:t>
      </w:r>
    </w:p>
    <w:p w:rsidR="00BB2720" w:rsidRPr="00C40C29" w:rsidRDefault="00BB2720" w:rsidP="006517B2">
      <w:pPr>
        <w:pStyle w:val="Bodystylefordocumentdetails"/>
      </w:pPr>
      <w:r>
        <w:t>F</w:t>
      </w:r>
      <w:r w:rsidRPr="00C40C29">
        <w:t>eedback was</w:t>
      </w:r>
      <w:r>
        <w:t xml:space="preserve"> also</w:t>
      </w:r>
      <w:r w:rsidRPr="00C40C29">
        <w:t xml:space="preserve"> received from a number of agencies, which was greatly appreciated.</w:t>
      </w:r>
    </w:p>
    <w:p w:rsidR="00C40C29" w:rsidRPr="00831408" w:rsidRDefault="00C40C29" w:rsidP="00B12183">
      <w:pPr>
        <w:pStyle w:val="Heading2nonumber"/>
      </w:pPr>
      <w:r w:rsidRPr="00831408">
        <w:t>Copyright</w:t>
      </w:r>
    </w:p>
    <w:p w:rsidR="00754C94" w:rsidRPr="003B1F45" w:rsidRDefault="00EE5E12" w:rsidP="006517B2">
      <w:pPr>
        <w:pStyle w:val="Bodystylefordocumentdetails"/>
      </w:pPr>
      <w:r>
        <w:rPr>
          <w:i/>
        </w:rPr>
        <w:t xml:space="preserve">Federated identity blueprint </w:t>
      </w:r>
      <w:r w:rsidR="009D7129">
        <w:rPr>
          <w:i/>
        </w:rPr>
        <w:t>–</w:t>
      </w:r>
      <w:r>
        <w:rPr>
          <w:i/>
        </w:rPr>
        <w:t xml:space="preserve"> </w:t>
      </w:r>
      <w:r w:rsidR="004766CA">
        <w:rPr>
          <w:i/>
        </w:rPr>
        <w:t>Process</w:t>
      </w:r>
      <w:r w:rsidR="009D7129">
        <w:rPr>
          <w:i/>
        </w:rPr>
        <w:t xml:space="preserve"> models</w:t>
      </w:r>
    </w:p>
    <w:p w:rsidR="00C40C29" w:rsidRPr="00FB5186" w:rsidRDefault="00C40C29" w:rsidP="006517B2">
      <w:pPr>
        <w:pStyle w:val="Bodystylefordocumentdetails"/>
      </w:pPr>
      <w:r w:rsidRPr="00FB5186">
        <w:t>Copyright © The State of Queensland (</w:t>
      </w:r>
      <w:r w:rsidR="006C7E44">
        <w:t>Queensland Government Chief Information Office</w:t>
      </w:r>
      <w:r w:rsidRPr="00FB5186">
        <w:t>)</w:t>
      </w:r>
      <w:r w:rsidR="00013A6E">
        <w:t xml:space="preserve"> </w:t>
      </w:r>
      <w:r w:rsidR="00FC066D">
        <w:t>20</w:t>
      </w:r>
      <w:r w:rsidR="00754C94">
        <w:t>1</w:t>
      </w:r>
      <w:r w:rsidR="006C7E44">
        <w:t>7</w:t>
      </w:r>
    </w:p>
    <w:p w:rsidR="007A3856" w:rsidRPr="00831408" w:rsidRDefault="007A3856" w:rsidP="00B12183">
      <w:pPr>
        <w:pStyle w:val="Heading2nonumber"/>
      </w:pPr>
      <w:r w:rsidRPr="00831408">
        <w:t>Licence</w:t>
      </w:r>
    </w:p>
    <w:p w:rsidR="00EE5E12" w:rsidRDefault="00EE5E12" w:rsidP="00EE5E12">
      <w:pPr>
        <w:pStyle w:val="Bodystylefordocumentdetails"/>
      </w:pPr>
      <w:r>
        <w:rPr>
          <w:noProof/>
        </w:rPr>
        <w:drawing>
          <wp:inline distT="0" distB="0" distL="0" distR="0" wp14:anchorId="0DC13754" wp14:editId="48744F42">
            <wp:extent cx="873760" cy="300990"/>
            <wp:effectExtent l="0" t="0" r="2540" b="3810"/>
            <wp:docPr id="3" name="Picture 3" descr="裰矺㡰矵䒨矹絰矵診矵㚄ꡠͩ">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裰矺㡰矵䒨矹絰矵診矵㚄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3760" cy="300990"/>
                    </a:xfrm>
                    <a:prstGeom prst="rect">
                      <a:avLst/>
                    </a:prstGeom>
                    <a:noFill/>
                    <a:ln>
                      <a:noFill/>
                    </a:ln>
                  </pic:spPr>
                </pic:pic>
              </a:graphicData>
            </a:graphic>
          </wp:inline>
        </w:drawing>
      </w:r>
      <w:r w:rsidR="001E0EEF">
        <w:t xml:space="preserve"> </w:t>
      </w:r>
    </w:p>
    <w:p w:rsidR="00EE5E12" w:rsidRPr="001328B5" w:rsidRDefault="00EE5E12" w:rsidP="00EE5E12">
      <w:pPr>
        <w:pStyle w:val="Bodystylefordocumentdetails"/>
      </w:pPr>
      <w:r w:rsidRPr="007C0542">
        <w:rPr>
          <w:szCs w:val="22"/>
        </w:rPr>
        <w:t>This work</w:t>
      </w:r>
      <w:r w:rsidRPr="007C0542">
        <w:rPr>
          <w:rFonts w:cs="Arial"/>
          <w:szCs w:val="22"/>
        </w:rPr>
        <w:t xml:space="preserve"> </w:t>
      </w:r>
      <w:r w:rsidRPr="007C0542">
        <w:rPr>
          <w:szCs w:val="22"/>
        </w:rPr>
        <w:t>is</w:t>
      </w:r>
      <w:r w:rsidRPr="00750438">
        <w:rPr>
          <w:szCs w:val="22"/>
        </w:rPr>
        <w:t xml:space="preserve"> licensed under a Creative Commons Attribution </w:t>
      </w:r>
      <w:r>
        <w:rPr>
          <w:szCs w:val="22"/>
        </w:rPr>
        <w:t>4</w:t>
      </w:r>
      <w:r w:rsidRPr="00750438">
        <w:rPr>
          <w:szCs w:val="22"/>
        </w:rPr>
        <w:t xml:space="preserve">.0 </w:t>
      </w:r>
      <w:r>
        <w:rPr>
          <w:szCs w:val="22"/>
        </w:rPr>
        <w:t>International</w:t>
      </w:r>
      <w:r w:rsidRPr="00750438">
        <w:rPr>
          <w:szCs w:val="22"/>
        </w:rPr>
        <w:t xml:space="preserve"> licence. To view the terms of this licence, visit </w:t>
      </w:r>
      <w:hyperlink r:id="rId11" w:history="1">
        <w:r>
          <w:rPr>
            <w:rStyle w:val="Hyperlink"/>
            <w:szCs w:val="22"/>
          </w:rPr>
          <w:t>http://creativecommons.org/licenses/by/4.0/</w:t>
        </w:r>
      </w:hyperlink>
      <w:r w:rsidRPr="00750438">
        <w:rPr>
          <w:szCs w:val="22"/>
        </w:rPr>
        <w:t xml:space="preserve">. For permissions beyond the scope of this licence, contact </w:t>
      </w:r>
      <w:hyperlink r:id="rId12" w:history="1">
        <w:r w:rsidRPr="00540260">
          <w:rPr>
            <w:rStyle w:val="Hyperlink"/>
            <w:szCs w:val="22"/>
          </w:rPr>
          <w:t>qgcio@qgcio.qld.gov.au</w:t>
        </w:r>
      </w:hyperlink>
      <w:r w:rsidRPr="00750438">
        <w:rPr>
          <w:szCs w:val="22"/>
        </w:rPr>
        <w:t xml:space="preserve">. </w:t>
      </w:r>
    </w:p>
    <w:p w:rsidR="00EE5E12" w:rsidRDefault="00EE5E12" w:rsidP="00EE5E12">
      <w:pPr>
        <w:pStyle w:val="BodyText"/>
        <w:ind w:left="0"/>
        <w:rPr>
          <w:szCs w:val="22"/>
        </w:rPr>
      </w:pPr>
      <w:r w:rsidRPr="00750438">
        <w:rPr>
          <w:szCs w:val="22"/>
        </w:rPr>
        <w:t xml:space="preserve">To attribute this material, cite the Queensland Government Chief Information Office. </w:t>
      </w:r>
    </w:p>
    <w:p w:rsidR="00EE5E12" w:rsidRDefault="00EE5E12" w:rsidP="00EE5E12">
      <w:pPr>
        <w:pStyle w:val="BodyText"/>
        <w:ind w:left="0"/>
        <w:rPr>
          <w:szCs w:val="22"/>
        </w:rPr>
      </w:pPr>
      <w:r w:rsidRPr="00DB5123">
        <w:rPr>
          <w:szCs w:val="22"/>
        </w:rPr>
        <w:t>The licence does not apply to any branding or images</w:t>
      </w:r>
      <w:r>
        <w:rPr>
          <w:szCs w:val="22"/>
        </w:rPr>
        <w:t xml:space="preserve">. </w:t>
      </w:r>
    </w:p>
    <w:p w:rsidR="00527E24" w:rsidRPr="00831408" w:rsidRDefault="00527E24" w:rsidP="00B12183">
      <w:pPr>
        <w:pStyle w:val="Heading2nonumber"/>
      </w:pPr>
      <w:r w:rsidRPr="00831408">
        <w:t>Information security</w:t>
      </w:r>
    </w:p>
    <w:p w:rsidR="00C40C29" w:rsidRPr="00C40C29" w:rsidRDefault="00C40C29" w:rsidP="006517B2">
      <w:pPr>
        <w:pStyle w:val="Bodystylefordocumentdetails"/>
      </w:pPr>
      <w:r w:rsidRPr="00C40C29">
        <w:t xml:space="preserve">This </w:t>
      </w:r>
      <w:r w:rsidR="00EA6654">
        <w:t>document</w:t>
      </w:r>
      <w:r w:rsidRPr="00C40C29">
        <w:t xml:space="preserve"> has been security classified using the Queensland Government Information Security Classification Framework (QGISCF) as </w:t>
      </w:r>
      <w:r w:rsidR="00EE5E12">
        <w:t>PUBLIC</w:t>
      </w:r>
      <w:r w:rsidRPr="00C40C29">
        <w:t xml:space="preserve"> and will be managed according to the requirements of the QGISCF.</w:t>
      </w:r>
    </w:p>
    <w:p w:rsidR="00571312" w:rsidRPr="00B12183" w:rsidRDefault="00DE6BBA" w:rsidP="00B12183">
      <w:pPr>
        <w:pStyle w:val="Heading1nonumber"/>
        <w:pageBreakBefore/>
        <w:rPr>
          <w:color w:val="5F5F5F"/>
        </w:rPr>
      </w:pPr>
      <w:r w:rsidRPr="00B12183">
        <w:rPr>
          <w:color w:val="5F5F5F"/>
        </w:rPr>
        <w:lastRenderedPageBreak/>
        <w:t>C</w:t>
      </w:r>
      <w:r w:rsidR="009D3F26" w:rsidRPr="00B12183">
        <w:rPr>
          <w:color w:val="5F5F5F"/>
        </w:rPr>
        <w:t>ontents</w:t>
      </w:r>
    </w:p>
    <w:bookmarkStart w:id="0" w:name="_GoBack"/>
    <w:bookmarkEnd w:id="0"/>
    <w:p w:rsidR="00B9565F" w:rsidRDefault="00C314B4">
      <w:pPr>
        <w:pStyle w:val="TOC1"/>
        <w:rPr>
          <w:rFonts w:asciiTheme="minorHAnsi" w:eastAsiaTheme="minorEastAsia" w:hAnsiTheme="minorHAnsi" w:cstheme="minorBidi"/>
          <w:b w:val="0"/>
          <w:snapToGrid/>
          <w:kern w:val="0"/>
          <w:szCs w:val="22"/>
        </w:rPr>
      </w:pPr>
      <w:r w:rsidRPr="00766CCB">
        <w:fldChar w:fldCharType="begin"/>
      </w:r>
      <w:r w:rsidRPr="00766CCB">
        <w:instrText xml:space="preserve"> TOC \o "1-1" \h \z \t "Heading 2,2" </w:instrText>
      </w:r>
      <w:r w:rsidRPr="00766CCB">
        <w:fldChar w:fldCharType="separate"/>
      </w:r>
      <w:hyperlink w:anchor="_Toc484431685" w:history="1">
        <w:r w:rsidR="00B9565F" w:rsidRPr="003548A6">
          <w:rPr>
            <w:rStyle w:val="Hyperlink"/>
          </w:rPr>
          <w:t>1</w:t>
        </w:r>
        <w:r w:rsidR="00B9565F">
          <w:rPr>
            <w:rFonts w:asciiTheme="minorHAnsi" w:eastAsiaTheme="minorEastAsia" w:hAnsiTheme="minorHAnsi" w:cstheme="minorBidi"/>
            <w:b w:val="0"/>
            <w:snapToGrid/>
            <w:kern w:val="0"/>
            <w:szCs w:val="22"/>
          </w:rPr>
          <w:tab/>
        </w:r>
        <w:r w:rsidR="00B9565F" w:rsidRPr="003548A6">
          <w:rPr>
            <w:rStyle w:val="Hyperlink"/>
          </w:rPr>
          <w:t>Process and function models</w:t>
        </w:r>
        <w:r w:rsidR="00B9565F">
          <w:rPr>
            <w:webHidden/>
          </w:rPr>
          <w:tab/>
        </w:r>
        <w:r w:rsidR="00B9565F">
          <w:rPr>
            <w:webHidden/>
          </w:rPr>
          <w:fldChar w:fldCharType="begin"/>
        </w:r>
        <w:r w:rsidR="00B9565F">
          <w:rPr>
            <w:webHidden/>
          </w:rPr>
          <w:instrText xml:space="preserve"> PAGEREF _Toc484431685 \h </w:instrText>
        </w:r>
        <w:r w:rsidR="00B9565F">
          <w:rPr>
            <w:webHidden/>
          </w:rPr>
        </w:r>
        <w:r w:rsidR="00B9565F">
          <w:rPr>
            <w:webHidden/>
          </w:rPr>
          <w:fldChar w:fldCharType="separate"/>
        </w:r>
        <w:r w:rsidR="00B9565F">
          <w:rPr>
            <w:webHidden/>
          </w:rPr>
          <w:t>4</w:t>
        </w:r>
        <w:r w:rsidR="00B9565F">
          <w:rPr>
            <w:webHidden/>
          </w:rPr>
          <w:fldChar w:fldCharType="end"/>
        </w:r>
      </w:hyperlink>
    </w:p>
    <w:p w:rsidR="00B9565F" w:rsidRDefault="00B9565F">
      <w:pPr>
        <w:pStyle w:val="TOC2"/>
        <w:rPr>
          <w:rFonts w:asciiTheme="minorHAnsi" w:eastAsiaTheme="minorEastAsia" w:hAnsiTheme="minorHAnsi" w:cstheme="minorBidi"/>
          <w:snapToGrid/>
          <w:kern w:val="0"/>
          <w:szCs w:val="22"/>
          <w:lang w:eastAsia="en-AU"/>
        </w:rPr>
      </w:pPr>
      <w:hyperlink w:anchor="_Toc484431686" w:history="1">
        <w:r w:rsidRPr="003548A6">
          <w:rPr>
            <w:rStyle w:val="Hyperlink"/>
          </w:rPr>
          <w:t>1.1</w:t>
        </w:r>
        <w:r>
          <w:rPr>
            <w:rFonts w:asciiTheme="minorHAnsi" w:eastAsiaTheme="minorEastAsia" w:hAnsiTheme="minorHAnsi" w:cstheme="minorBidi"/>
            <w:snapToGrid/>
            <w:kern w:val="0"/>
            <w:szCs w:val="22"/>
            <w:lang w:eastAsia="en-AU"/>
          </w:rPr>
          <w:tab/>
        </w:r>
        <w:r w:rsidRPr="003548A6">
          <w:rPr>
            <w:rStyle w:val="Hyperlink"/>
          </w:rPr>
          <w:t>Federated authentication</w:t>
        </w:r>
        <w:r>
          <w:rPr>
            <w:webHidden/>
          </w:rPr>
          <w:tab/>
        </w:r>
        <w:r>
          <w:rPr>
            <w:webHidden/>
          </w:rPr>
          <w:fldChar w:fldCharType="begin"/>
        </w:r>
        <w:r>
          <w:rPr>
            <w:webHidden/>
          </w:rPr>
          <w:instrText xml:space="preserve"> PAGEREF _Toc484431686 \h </w:instrText>
        </w:r>
        <w:r>
          <w:rPr>
            <w:webHidden/>
          </w:rPr>
        </w:r>
        <w:r>
          <w:rPr>
            <w:webHidden/>
          </w:rPr>
          <w:fldChar w:fldCharType="separate"/>
        </w:r>
        <w:r>
          <w:rPr>
            <w:webHidden/>
          </w:rPr>
          <w:t>4</w:t>
        </w:r>
        <w:r>
          <w:rPr>
            <w:webHidden/>
          </w:rPr>
          <w:fldChar w:fldCharType="end"/>
        </w:r>
      </w:hyperlink>
    </w:p>
    <w:p w:rsidR="00B9565F" w:rsidRDefault="00B9565F">
      <w:pPr>
        <w:pStyle w:val="TOC2"/>
        <w:rPr>
          <w:rFonts w:asciiTheme="minorHAnsi" w:eastAsiaTheme="minorEastAsia" w:hAnsiTheme="minorHAnsi" w:cstheme="minorBidi"/>
          <w:snapToGrid/>
          <w:kern w:val="0"/>
          <w:szCs w:val="22"/>
          <w:lang w:eastAsia="en-AU"/>
        </w:rPr>
      </w:pPr>
      <w:hyperlink w:anchor="_Toc484431687" w:history="1">
        <w:r w:rsidRPr="003548A6">
          <w:rPr>
            <w:rStyle w:val="Hyperlink"/>
          </w:rPr>
          <w:t>1.2</w:t>
        </w:r>
        <w:r>
          <w:rPr>
            <w:rFonts w:asciiTheme="minorHAnsi" w:eastAsiaTheme="minorEastAsia" w:hAnsiTheme="minorHAnsi" w:cstheme="minorBidi"/>
            <w:snapToGrid/>
            <w:kern w:val="0"/>
            <w:szCs w:val="22"/>
            <w:lang w:eastAsia="en-AU"/>
          </w:rPr>
          <w:tab/>
        </w:r>
        <w:r w:rsidRPr="003548A6">
          <w:rPr>
            <w:rStyle w:val="Hyperlink"/>
          </w:rPr>
          <w:t>Federated delegated authorisation</w:t>
        </w:r>
        <w:r>
          <w:rPr>
            <w:webHidden/>
          </w:rPr>
          <w:tab/>
        </w:r>
        <w:r>
          <w:rPr>
            <w:webHidden/>
          </w:rPr>
          <w:fldChar w:fldCharType="begin"/>
        </w:r>
        <w:r>
          <w:rPr>
            <w:webHidden/>
          </w:rPr>
          <w:instrText xml:space="preserve"> PAGEREF _Toc484431687 \h </w:instrText>
        </w:r>
        <w:r>
          <w:rPr>
            <w:webHidden/>
          </w:rPr>
        </w:r>
        <w:r>
          <w:rPr>
            <w:webHidden/>
          </w:rPr>
          <w:fldChar w:fldCharType="separate"/>
        </w:r>
        <w:r>
          <w:rPr>
            <w:webHidden/>
          </w:rPr>
          <w:t>6</w:t>
        </w:r>
        <w:r>
          <w:rPr>
            <w:webHidden/>
          </w:rPr>
          <w:fldChar w:fldCharType="end"/>
        </w:r>
      </w:hyperlink>
    </w:p>
    <w:p w:rsidR="00B9565F" w:rsidRDefault="00B9565F">
      <w:pPr>
        <w:pStyle w:val="TOC2"/>
        <w:rPr>
          <w:rFonts w:asciiTheme="minorHAnsi" w:eastAsiaTheme="minorEastAsia" w:hAnsiTheme="minorHAnsi" w:cstheme="minorBidi"/>
          <w:snapToGrid/>
          <w:kern w:val="0"/>
          <w:szCs w:val="22"/>
          <w:lang w:eastAsia="en-AU"/>
        </w:rPr>
      </w:pPr>
      <w:hyperlink w:anchor="_Toc484431688" w:history="1">
        <w:r w:rsidRPr="003548A6">
          <w:rPr>
            <w:rStyle w:val="Hyperlink"/>
          </w:rPr>
          <w:t>1.3</w:t>
        </w:r>
        <w:r>
          <w:rPr>
            <w:rFonts w:asciiTheme="minorHAnsi" w:eastAsiaTheme="minorEastAsia" w:hAnsiTheme="minorHAnsi" w:cstheme="minorBidi"/>
            <w:snapToGrid/>
            <w:kern w:val="0"/>
            <w:szCs w:val="22"/>
            <w:lang w:eastAsia="en-AU"/>
          </w:rPr>
          <w:tab/>
        </w:r>
        <w:r w:rsidRPr="003548A6">
          <w:rPr>
            <w:rStyle w:val="Hyperlink"/>
          </w:rPr>
          <w:t>Federated attribute exchange</w:t>
        </w:r>
        <w:r>
          <w:rPr>
            <w:webHidden/>
          </w:rPr>
          <w:tab/>
        </w:r>
        <w:r>
          <w:rPr>
            <w:webHidden/>
          </w:rPr>
          <w:fldChar w:fldCharType="begin"/>
        </w:r>
        <w:r>
          <w:rPr>
            <w:webHidden/>
          </w:rPr>
          <w:instrText xml:space="preserve"> PAGEREF _Toc484431688 \h </w:instrText>
        </w:r>
        <w:r>
          <w:rPr>
            <w:webHidden/>
          </w:rPr>
        </w:r>
        <w:r>
          <w:rPr>
            <w:webHidden/>
          </w:rPr>
          <w:fldChar w:fldCharType="separate"/>
        </w:r>
        <w:r>
          <w:rPr>
            <w:webHidden/>
          </w:rPr>
          <w:t>12</w:t>
        </w:r>
        <w:r>
          <w:rPr>
            <w:webHidden/>
          </w:rPr>
          <w:fldChar w:fldCharType="end"/>
        </w:r>
      </w:hyperlink>
    </w:p>
    <w:p w:rsidR="00503B8B" w:rsidRDefault="00C314B4" w:rsidP="00766CCB">
      <w:pPr>
        <w:spacing w:before="0" w:after="60"/>
        <w:rPr>
          <w:noProof/>
          <w:snapToGrid w:val="0"/>
        </w:rPr>
      </w:pPr>
      <w:r w:rsidRPr="00766CCB">
        <w:rPr>
          <w:noProof/>
          <w:snapToGrid w:val="0"/>
        </w:rPr>
        <w:fldChar w:fldCharType="end"/>
      </w:r>
    </w:p>
    <w:p w:rsidR="00AD0A26" w:rsidRDefault="00AD0A26" w:rsidP="00766CCB">
      <w:pPr>
        <w:rPr>
          <w:noProof/>
          <w:snapToGrid w:val="0"/>
        </w:rPr>
      </w:pPr>
    </w:p>
    <w:p w:rsidR="00AD0A26" w:rsidRDefault="00AD0A26" w:rsidP="00766CCB">
      <w:pPr>
        <w:rPr>
          <w:noProof/>
          <w:snapToGrid w:val="0"/>
        </w:rPr>
      </w:pPr>
    </w:p>
    <w:p w:rsidR="00AD0A26" w:rsidRPr="00055798" w:rsidRDefault="00AD0A26" w:rsidP="00766CCB">
      <w:pPr>
        <w:rPr>
          <w:noProof/>
          <w:snapToGrid w:val="0"/>
        </w:rPr>
        <w:sectPr w:rsidR="00AD0A26" w:rsidRPr="00055798" w:rsidSect="005E7B99">
          <w:headerReference w:type="default" r:id="rId13"/>
          <w:footerReference w:type="default" r:id="rId14"/>
          <w:headerReference w:type="first" r:id="rId15"/>
          <w:footerReference w:type="first" r:id="rId16"/>
          <w:pgSz w:w="11906" w:h="16838" w:code="9"/>
          <w:pgMar w:top="1418" w:right="1134" w:bottom="1134" w:left="1134" w:header="397" w:footer="284" w:gutter="0"/>
          <w:cols w:space="708"/>
          <w:titlePg/>
          <w:docGrid w:linePitch="360"/>
        </w:sectPr>
      </w:pPr>
    </w:p>
    <w:p w:rsidR="00CA72BA" w:rsidRDefault="00F80D99" w:rsidP="00B12183">
      <w:pPr>
        <w:pStyle w:val="Heading1"/>
      </w:pPr>
      <w:bookmarkStart w:id="1" w:name="_Toc468202532"/>
      <w:bookmarkStart w:id="2" w:name="_Ref214338390"/>
      <w:bookmarkStart w:id="3" w:name="_Toc484431685"/>
      <w:r>
        <w:lastRenderedPageBreak/>
        <w:t>Process and function</w:t>
      </w:r>
      <w:r w:rsidR="00333BC4">
        <w:t xml:space="preserve"> models</w:t>
      </w:r>
      <w:bookmarkEnd w:id="1"/>
      <w:bookmarkEnd w:id="3"/>
    </w:p>
    <w:p w:rsidR="00F80D99" w:rsidRPr="00376BBF" w:rsidRDefault="00F80D99" w:rsidP="00F80D99">
      <w:pPr>
        <w:pStyle w:val="Heading2"/>
      </w:pPr>
      <w:bookmarkStart w:id="4" w:name="_Toc468260902"/>
      <w:bookmarkStart w:id="5" w:name="_Toc484431686"/>
      <w:r w:rsidRPr="00376BBF">
        <w:t>Federated authentication</w:t>
      </w:r>
      <w:bookmarkEnd w:id="4"/>
      <w:bookmarkEnd w:id="5"/>
    </w:p>
    <w:p w:rsidR="00F80D99" w:rsidRPr="00376BBF" w:rsidRDefault="00F80D99" w:rsidP="00F80D99">
      <w:r w:rsidRPr="00376BBF">
        <w:t>The flows for federated authentication are broken into two parts:</w:t>
      </w:r>
    </w:p>
    <w:p w:rsidR="00F80D99" w:rsidRPr="00376BBF" w:rsidRDefault="00F80D99" w:rsidP="00F80D99">
      <w:pPr>
        <w:pStyle w:val="Bullet1"/>
      </w:pPr>
      <w:r w:rsidRPr="00376BBF">
        <w:t>relying party to identity provider (IdP consolidation) – where multiple relying party (RP) or service providers (SP) use a common identity provider/shared user base</w:t>
      </w:r>
    </w:p>
    <w:p w:rsidR="00F80D99" w:rsidRPr="00376BBF" w:rsidRDefault="00F80D99" w:rsidP="00F80D99">
      <w:pPr>
        <w:pStyle w:val="Bullet1"/>
      </w:pPr>
      <w:r w:rsidRPr="00376BBF">
        <w:t>identity provider to identity provider (IdP federation) – where identity providers are federated to allow users registered (known) by one identity provider to access relying party services within the other identity provider’s community.</w:t>
      </w:r>
    </w:p>
    <w:p w:rsidR="00F80D99" w:rsidRPr="00376BBF" w:rsidRDefault="00F80D99" w:rsidP="00F80D99">
      <w:pPr>
        <w:pStyle w:val="Heading3"/>
      </w:pPr>
      <w:r w:rsidRPr="00376BBF">
        <w:t>IdP consolidation</w:t>
      </w:r>
    </w:p>
    <w:p w:rsidR="00F80D99" w:rsidRPr="00376BBF" w:rsidRDefault="00F80D99" w:rsidP="00F80D99">
      <w:r w:rsidRPr="00376BBF">
        <w:t xml:space="preserve">Federated authentication takes place across multiple systems and organisations on the basis of mutual trust – the user authenticates himself to this primary domain so that this primary domain authenticates the user to other domains in the federation. This way, the user only registers once (or may be already registered) with an identity provider and authenticates only once per session – providing so called single sign-on (SSO). </w:t>
      </w:r>
    </w:p>
    <w:p w:rsidR="00F80D99" w:rsidRPr="00376BBF" w:rsidRDefault="00F80D99" w:rsidP="00F80D99">
      <w:r w:rsidRPr="00376BBF">
        <w:t>To achieve this, two requirements must be met – an IdP capable of issuing identity assertions, an RP capable of accepting assertions (support for claims based authentication) and an agreement of trust between all parties including users as to the rules/procedures. Namely, the:</w:t>
      </w:r>
    </w:p>
    <w:p w:rsidR="00F80D99" w:rsidRPr="00376BBF" w:rsidRDefault="00F80D99" w:rsidP="00F80D99">
      <w:pPr>
        <w:pStyle w:val="Bullet1"/>
      </w:pPr>
      <w:r w:rsidRPr="00376BBF">
        <w:t>RP trusts the IdP to authenticate users appropriately and release attributes as per the agreement</w:t>
      </w:r>
    </w:p>
    <w:p w:rsidR="00F80D99" w:rsidRPr="00376BBF" w:rsidRDefault="00F80D99" w:rsidP="00F80D99">
      <w:pPr>
        <w:pStyle w:val="Bullet1"/>
      </w:pPr>
      <w:r w:rsidRPr="00376BBF">
        <w:t>IdP trusts the SP to not abuse the release attributes and to issue them only for the stated purchases as per the agreement</w:t>
      </w:r>
    </w:p>
    <w:p w:rsidR="00F80D99" w:rsidRPr="00376BBF" w:rsidRDefault="00F80D99" w:rsidP="00F80D99">
      <w:pPr>
        <w:pStyle w:val="Bullet1"/>
      </w:pPr>
      <w:r w:rsidRPr="00376BBF">
        <w:t>user trusts the IdP.</w:t>
      </w:r>
    </w:p>
    <w:p w:rsidR="00F80D99" w:rsidRPr="00376BBF" w:rsidRDefault="00F80D99" w:rsidP="00F80D99">
      <w:r w:rsidRPr="00376BBF">
        <w:t>The diagram on page 5 outlines a typical scenario of IdP consolidation, where multiple relying parties ‘outsource’ authentication to a common IdP which also provides a means to leverage the IdP existing user base. The diagram below depicts the primary federation roles of an identity provider, the relying party, user, intermediary, attribute provider, the relationships and typical domain boundaries.</w:t>
      </w:r>
    </w:p>
    <w:p w:rsidR="00F80D99" w:rsidRPr="00376BBF" w:rsidRDefault="00F80D99" w:rsidP="00F80D99">
      <w:r w:rsidRPr="00376BBF">
        <w:object w:dxaOrig="13281" w:dyaOrig="9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300.5pt" o:ole="">
            <v:imagedata r:id="rId17" o:title=""/>
          </v:shape>
          <o:OLEObject Type="Embed" ProgID="Visio.Drawing.15" ShapeID="_x0000_i1025" DrawAspect="Content" ObjectID="_1558173629" r:id="rId18"/>
        </w:object>
      </w:r>
    </w:p>
    <w:p w:rsidR="00F80D99" w:rsidRPr="00376BBF" w:rsidRDefault="00F80D99" w:rsidP="00F80D99">
      <w:r w:rsidRPr="00376BBF">
        <w:t>The identity provider comprises of multiple roles, which in themselves may be federated (provided by other entities).</w:t>
      </w:r>
    </w:p>
    <w:p w:rsidR="00F80D99" w:rsidRPr="00376BBF" w:rsidRDefault="00F80D99" w:rsidP="00F80D99">
      <w:r w:rsidRPr="00376BBF">
        <w:t>As depicted below, the IdP or RP may also use one or more attribute providers (or attribute brokers) as external authoritative sources for identity attribute information or verification of identity attributes.</w:t>
      </w:r>
    </w:p>
    <w:p w:rsidR="00F80D99" w:rsidRPr="00376BBF" w:rsidRDefault="00F80D99" w:rsidP="00F80D99">
      <w:r w:rsidRPr="00376BBF">
        <w:t>Integration between an IdP and RP may to support:</w:t>
      </w:r>
    </w:p>
    <w:p w:rsidR="00F80D99" w:rsidRPr="00376BBF" w:rsidRDefault="00F80D99" w:rsidP="00F80D99">
      <w:pPr>
        <w:pStyle w:val="Bullet1"/>
      </w:pPr>
      <w:r w:rsidRPr="00376BBF">
        <w:t>authentication via an identity assertion</w:t>
      </w:r>
    </w:p>
    <w:p w:rsidR="00F80D99" w:rsidRPr="00376BBF" w:rsidRDefault="00F80D99" w:rsidP="00F80D99">
      <w:pPr>
        <w:pStyle w:val="Bullet1"/>
      </w:pPr>
      <w:r w:rsidRPr="00376BBF">
        <w:t xml:space="preserve">attribute exchange to support resolution of additional attributes for authorisation </w:t>
      </w:r>
    </w:p>
    <w:p w:rsidR="00F80D99" w:rsidRPr="00376BBF" w:rsidRDefault="00F80D99" w:rsidP="00F80D99">
      <w:pPr>
        <w:pStyle w:val="Bullet1"/>
      </w:pPr>
      <w:r w:rsidRPr="00376BBF">
        <w:t>provisioning of user accounts at the RP.</w:t>
      </w:r>
    </w:p>
    <w:p w:rsidR="00F80D99" w:rsidRPr="00376BBF" w:rsidRDefault="00F80D99" w:rsidP="00F80D99">
      <w:r w:rsidRPr="00376BBF">
        <w:t xml:space="preserve">For more information, see the decision framework </w:t>
      </w:r>
      <w:hyperlink w:anchor="_Federated_Authentication_–" w:history="1">
        <w:r w:rsidRPr="00376BBF">
          <w:rPr>
            <w:rStyle w:val="Hyperlink"/>
          </w:rPr>
          <w:t>federated authentication – relying party to identity provider</w:t>
        </w:r>
      </w:hyperlink>
      <w:r w:rsidRPr="00376BBF">
        <w:t>.</w:t>
      </w:r>
    </w:p>
    <w:p w:rsidR="00F80D99" w:rsidRPr="00376BBF" w:rsidRDefault="00F80D99" w:rsidP="00F80D99">
      <w:r w:rsidRPr="00376BBF">
        <w:t xml:space="preserve">In order for the relying party to accurately and reliably grant the subject access to protected resources, the relying party must be able to associate the identity and/or credential information of the subject provided by an identity provider to entitlement information managed by the relying party.  </w:t>
      </w:r>
    </w:p>
    <w:p w:rsidR="00F80D99" w:rsidRPr="00376BBF" w:rsidRDefault="00F80D99" w:rsidP="00F80D99">
      <w:r w:rsidRPr="00376BBF">
        <w:t xml:space="preserve">For more information regarding the attribute provider (ap) role see </w:t>
      </w:r>
      <w:hyperlink w:anchor="_Federated_Attribute_Exchange" w:history="1">
        <w:r w:rsidRPr="00376BBF">
          <w:rPr>
            <w:rStyle w:val="Hyperlink"/>
          </w:rPr>
          <w:t>federated attribute exchange models</w:t>
        </w:r>
      </w:hyperlink>
      <w:r w:rsidRPr="00376BBF">
        <w:t>.</w:t>
      </w:r>
    </w:p>
    <w:p w:rsidR="00F80D99" w:rsidRPr="00376BBF" w:rsidRDefault="00F80D99" w:rsidP="00F80D99">
      <w:pPr>
        <w:pStyle w:val="Heading3"/>
      </w:pPr>
      <w:r w:rsidRPr="00376BBF">
        <w:t>IdP federation</w:t>
      </w:r>
    </w:p>
    <w:p w:rsidR="00F80D99" w:rsidRPr="00376BBF" w:rsidRDefault="00F80D99" w:rsidP="00F80D99">
      <w:r w:rsidRPr="00376BBF">
        <w:t>Identity federation is a business model in which a group of two or more trusted (business) parties (legally) bind themselves with a business and technical contract to provide services to users</w:t>
      </w:r>
      <w:r w:rsidRPr="00376BBF">
        <w:endnoteReference w:id="1"/>
      </w:r>
      <w:r w:rsidRPr="00376BBF">
        <w:t>.</w:t>
      </w:r>
    </w:p>
    <w:p w:rsidR="00F80D99" w:rsidRPr="00376BBF" w:rsidRDefault="00F80D99" w:rsidP="00F80D99">
      <w:r w:rsidRPr="00376BBF">
        <w:t xml:space="preserve">Within the identity ecosystem system, there will be multiple identity providers covering the same or similar user constituencies. For example, different agencies within Queensland Government servicing the same individual customer or the same individual obtaining services from providers at a Federal, State and local levels. </w:t>
      </w:r>
    </w:p>
    <w:p w:rsidR="00F80D99" w:rsidRPr="00376BBF" w:rsidRDefault="00F80D99" w:rsidP="00F80D99">
      <w:r w:rsidRPr="00376BBF">
        <w:lastRenderedPageBreak/>
        <w:t>The federation may be mutual (bi-directional) and each party may consider the other as either a credential provider or identity provider.</w:t>
      </w:r>
    </w:p>
    <w:p w:rsidR="00F80D99" w:rsidRPr="00376BBF" w:rsidRDefault="00F80D99" w:rsidP="00F80D99">
      <w:r w:rsidRPr="00376BBF">
        <w:t>Identity providers wishing to federate (partner) need to determine if the:</w:t>
      </w:r>
    </w:p>
    <w:p w:rsidR="00F80D99" w:rsidRPr="00376BBF" w:rsidRDefault="00F80D99" w:rsidP="00F80D99">
      <w:pPr>
        <w:pStyle w:val="Bullet1"/>
      </w:pPr>
      <w:r w:rsidRPr="00376BBF">
        <w:t>federation is mutual (bi-directional) - where each IdP accepts the other’s credentials and/or identities</w:t>
      </w:r>
    </w:p>
    <w:p w:rsidR="00F80D99" w:rsidRPr="00376BBF" w:rsidRDefault="00F80D99" w:rsidP="00F80D99">
      <w:pPr>
        <w:pStyle w:val="Bullet1"/>
      </w:pPr>
      <w:r w:rsidRPr="00376BBF">
        <w:t>identity provider is relying on the other entity as a:</w:t>
      </w:r>
    </w:p>
    <w:p w:rsidR="00F80D99" w:rsidRPr="00376BBF" w:rsidRDefault="00F80D99" w:rsidP="00F80D99">
      <w:pPr>
        <w:pStyle w:val="Bullet2"/>
      </w:pPr>
      <w:r w:rsidRPr="00376BBF">
        <w:t>credential provider</w:t>
      </w:r>
    </w:p>
    <w:p w:rsidR="00F80D99" w:rsidRPr="00376BBF" w:rsidRDefault="00F80D99" w:rsidP="00F80D99">
      <w:pPr>
        <w:pStyle w:val="Bullet2"/>
      </w:pPr>
      <w:r w:rsidRPr="00376BBF">
        <w:t>identity provider</w:t>
      </w:r>
    </w:p>
    <w:p w:rsidR="00F80D99" w:rsidRPr="00376BBF" w:rsidRDefault="00F80D99" w:rsidP="00F80D99">
      <w:pPr>
        <w:pStyle w:val="Bullet2"/>
      </w:pPr>
      <w:r w:rsidRPr="00376BBF">
        <w:t>both a credential provider and identity provider</w:t>
      </w:r>
    </w:p>
    <w:p w:rsidR="00F80D99" w:rsidRPr="00376BBF" w:rsidRDefault="00F80D99" w:rsidP="00F80D99">
      <w:pPr>
        <w:pStyle w:val="Bullet2"/>
      </w:pPr>
      <w:r w:rsidRPr="00376BBF">
        <w:t xml:space="preserve">attribute provider e.g. address information, licenses/certification status. </w:t>
      </w:r>
    </w:p>
    <w:p w:rsidR="00F80D99" w:rsidRPr="00376BBF" w:rsidRDefault="00F80D99" w:rsidP="00F80D99">
      <w:r w:rsidRPr="00376BBF">
        <w:t xml:space="preserve">The decision framework for federated authentication (IdP to IdP) outlines a number of use cases and requirements for consideration (to be negotiated) between two identity providers. </w:t>
      </w:r>
    </w:p>
    <w:p w:rsidR="00F80D99" w:rsidRPr="00376BBF" w:rsidRDefault="00F80D99" w:rsidP="00F80D99">
      <w:r w:rsidRPr="00376BBF">
        <w:t xml:space="preserve">The left of the diagram below depicts federation between two identity providers as both identity and credential providers. The diagram on the right depicts an identity provider acting as a broker other providers of credential, identity or attributes to compose a digital identity. This is referred to as a federations service role – see </w:t>
      </w:r>
      <w:hyperlink w:anchor="_Determine_the_Federation" w:history="1">
        <w:r w:rsidRPr="00376BBF">
          <w:rPr>
            <w:rStyle w:val="Hyperlink"/>
          </w:rPr>
          <w:t>if a federation services role required</w:t>
        </w:r>
      </w:hyperlink>
      <w:r w:rsidRPr="00376BBF">
        <w:t xml:space="preserve"> for more information.</w:t>
      </w:r>
    </w:p>
    <w:p w:rsidR="00F80D99" w:rsidRPr="00376BBF" w:rsidRDefault="00F80D99" w:rsidP="00F80D99">
      <w:r w:rsidRPr="00376BBF">
        <w:object w:dxaOrig="14932" w:dyaOrig="6297">
          <v:shape id="_x0000_i1026" type="#_x0000_t75" style="width:459pt;height:195pt" o:ole="">
            <v:imagedata r:id="rId19" o:title=""/>
          </v:shape>
          <o:OLEObject Type="Embed" ProgID="Visio.Drawing.15" ShapeID="_x0000_i1026" DrawAspect="Content" ObjectID="_1558173630" r:id="rId20"/>
        </w:object>
      </w:r>
    </w:p>
    <w:p w:rsidR="00F80D99" w:rsidRPr="00376BBF" w:rsidRDefault="00F80D99" w:rsidP="00F80D99">
      <w:pPr>
        <w:pStyle w:val="Heading2"/>
      </w:pPr>
      <w:bookmarkStart w:id="6" w:name="_Toc468260903"/>
      <w:bookmarkStart w:id="7" w:name="_Toc484431687"/>
      <w:r w:rsidRPr="00376BBF">
        <w:t>Federated delegated authorisation</w:t>
      </w:r>
      <w:bookmarkEnd w:id="6"/>
      <w:bookmarkEnd w:id="7"/>
    </w:p>
    <w:p w:rsidR="00F80D99" w:rsidRPr="00376BBF" w:rsidRDefault="00F80D99" w:rsidP="00F80D99">
      <w:r w:rsidRPr="00376BBF">
        <w:t>There are three main models for establishing delegated authorisation:</w:t>
      </w:r>
    </w:p>
    <w:p w:rsidR="00F80D99" w:rsidRPr="00376BBF" w:rsidRDefault="00F80D99" w:rsidP="00F80D99">
      <w:pPr>
        <w:pStyle w:val="Bullet1"/>
      </w:pPr>
      <w:r w:rsidRPr="00376BBF">
        <w:t>single resource delegation for person-to-self sharing (user controlled consent) – where an individual owner of a resource delegates access to a third party application to act on their behalf</w:t>
      </w:r>
    </w:p>
    <w:p w:rsidR="00F80D99" w:rsidRPr="00376BBF" w:rsidRDefault="00F80D99" w:rsidP="00F80D99">
      <w:pPr>
        <w:pStyle w:val="Bullet1"/>
      </w:pPr>
      <w:r w:rsidRPr="00376BBF">
        <w:t>central delegation across resources for party-to-party information sharing (user controlled consent) – where an individual owner of multiple resources uses a central authority to manage delegations for one or more parties (individuals, businesses or agents)</w:t>
      </w:r>
    </w:p>
    <w:p w:rsidR="00F80D99" w:rsidRPr="00376BBF" w:rsidRDefault="00F80D99" w:rsidP="00F80D99">
      <w:pPr>
        <w:pStyle w:val="Bullet1"/>
      </w:pPr>
      <w:r w:rsidRPr="00376BBF">
        <w:t xml:space="preserve">central delegated authorisation (enterprise controlled) – where resources in multiple domains delegate access control decisions to an authority that evaluates access against a single policy.  </w:t>
      </w:r>
    </w:p>
    <w:p w:rsidR="00F80D99" w:rsidRPr="00376BBF" w:rsidRDefault="00F80D99" w:rsidP="00F80D99">
      <w:r w:rsidRPr="00376BBF">
        <w:t>Different industry protocols have evolved to support each use case:</w:t>
      </w:r>
    </w:p>
    <w:p w:rsidR="00F80D99" w:rsidRPr="00376BBF" w:rsidRDefault="00F80D99" w:rsidP="00F80D99">
      <w:pPr>
        <w:pStyle w:val="Bullet1"/>
      </w:pPr>
      <w:r w:rsidRPr="00376BBF">
        <w:t>OAuth standard provides a simple method for a user to interactively delegate access to third party applications</w:t>
      </w:r>
    </w:p>
    <w:p w:rsidR="00F80D99" w:rsidRPr="00376BBF" w:rsidRDefault="00F80D99" w:rsidP="00F80D99">
      <w:pPr>
        <w:pStyle w:val="Bullet1"/>
      </w:pPr>
      <w:r w:rsidRPr="00376BBF">
        <w:lastRenderedPageBreak/>
        <w:t>UMA standard is centred around an individual managing predefined delegations for multiple resources and extends the concept of delegation to include authentication of the requesting party</w:t>
      </w:r>
    </w:p>
    <w:p w:rsidR="00F80D99" w:rsidRPr="00376BBF" w:rsidRDefault="00F80D99" w:rsidP="00F80D99">
      <w:pPr>
        <w:pStyle w:val="Bullet1"/>
      </w:pPr>
      <w:r w:rsidRPr="00376BBF">
        <w:t>XACML provides a declarative fine-grained policy language for access control decisions implemented through separating layers of logic that enforce policy and make decisions about policy.</w:t>
      </w:r>
    </w:p>
    <w:p w:rsidR="00F80D99" w:rsidRPr="00376BBF" w:rsidRDefault="00F80D99" w:rsidP="00F80D99">
      <w:r w:rsidRPr="00376BBF">
        <w:t>User controlled consent can be defined as:</w:t>
      </w:r>
    </w:p>
    <w:p w:rsidR="00F80D99" w:rsidRPr="00376BBF" w:rsidRDefault="00F80D99" w:rsidP="00F80D99">
      <w:pPr>
        <w:pStyle w:val="Bullet1"/>
      </w:pPr>
      <w:r w:rsidRPr="00376BBF">
        <w:t>context – the right moment to make the decision to share</w:t>
      </w:r>
    </w:p>
    <w:p w:rsidR="00F80D99" w:rsidRPr="00376BBF" w:rsidRDefault="00F80D99" w:rsidP="00F80D99">
      <w:pPr>
        <w:pStyle w:val="Bullet1"/>
      </w:pPr>
      <w:r w:rsidRPr="00376BBF">
        <w:t>control – the ability to share just the right amount</w:t>
      </w:r>
    </w:p>
    <w:p w:rsidR="00F80D99" w:rsidRPr="00376BBF" w:rsidRDefault="00F80D99" w:rsidP="00F80D99">
      <w:pPr>
        <w:pStyle w:val="Bullet1"/>
      </w:pPr>
      <w:r w:rsidRPr="00376BBF">
        <w:t>choice – the true ability to say no and change one’s mind</w:t>
      </w:r>
    </w:p>
    <w:p w:rsidR="00F80D99" w:rsidRPr="00376BBF" w:rsidRDefault="00F80D99" w:rsidP="00F80D99">
      <w:pPr>
        <w:pStyle w:val="Bullet1"/>
      </w:pPr>
      <w:r w:rsidRPr="00376BBF">
        <w:t>respect – regards for one’s wishes and preferences.</w:t>
      </w:r>
    </w:p>
    <w:p w:rsidR="00F80D99" w:rsidRPr="00376BBF" w:rsidRDefault="00F80D99" w:rsidP="00F80D99">
      <w:pPr>
        <w:pStyle w:val="Heading4"/>
      </w:pPr>
      <w:r w:rsidRPr="00376BBF">
        <w:t>Single resource delegation for person-to-self sharing – user controlled consent (OAuth Protocol)</w:t>
      </w:r>
    </w:p>
    <w:p w:rsidR="00F80D99" w:rsidRPr="00376BBF" w:rsidRDefault="00F80D99" w:rsidP="00F80D99">
      <w:r w:rsidRPr="00376BBF">
        <w:t>The diagram below depicts the four primary roles of resource owner, resource server, authorisation server and application client, their relationships and typical domain boundaries. The authorisation server will authenticate the resource owner, or may federate with an IdP for authentication.</w:t>
      </w:r>
    </w:p>
    <w:p w:rsidR="00F80D99" w:rsidRPr="00376BBF" w:rsidRDefault="00F80D99" w:rsidP="00F80D99">
      <w:r w:rsidRPr="00376BBF">
        <w:t>It is important to note the resource server is paired with an authorisation server that controls access within the same domain/organisation.</w:t>
      </w:r>
    </w:p>
    <w:p w:rsidR="00F80D99" w:rsidRPr="00376BBF" w:rsidRDefault="00F80D99" w:rsidP="00F80D99">
      <w:pPr>
        <w:jc w:val="center"/>
      </w:pPr>
      <w:r w:rsidRPr="00376BBF">
        <w:object w:dxaOrig="6820" w:dyaOrig="7808">
          <v:shape id="_x0000_i1027" type="#_x0000_t75" style="width:256pt;height:291pt" o:ole="">
            <v:imagedata r:id="rId21" o:title=""/>
          </v:shape>
          <o:OLEObject Type="Embed" ProgID="Visio.Drawing.15" ShapeID="_x0000_i1027" DrawAspect="Content" ObjectID="_1558173631" r:id="rId22"/>
        </w:object>
      </w:r>
    </w:p>
    <w:p w:rsidR="00F80D99" w:rsidRPr="00376BBF" w:rsidRDefault="00F80D99" w:rsidP="00F80D99">
      <w:r w:rsidRPr="00376BBF">
        <w:br w:type="page"/>
      </w:r>
    </w:p>
    <w:p w:rsidR="00F80D99" w:rsidRPr="00376BBF" w:rsidRDefault="00F80D99" w:rsidP="00F80D99">
      <w:r w:rsidRPr="00376BBF">
        <w:lastRenderedPageBreak/>
        <w:t>The table below outlines some examples of single resource delegation and the respective actors of each role:</w:t>
      </w:r>
    </w:p>
    <w:p w:rsidR="00F80D99" w:rsidRPr="00376BBF" w:rsidRDefault="00F80D99" w:rsidP="00F80D99"/>
    <w:tbl>
      <w:tblPr>
        <w:tblStyle w:val="TableGrid"/>
        <w:tblW w:w="9444" w:type="dxa"/>
        <w:tblInd w:w="562" w:type="dxa"/>
        <w:tblLook w:val="04A0" w:firstRow="1" w:lastRow="0" w:firstColumn="1" w:lastColumn="0" w:noHBand="0" w:noVBand="1"/>
      </w:tblPr>
      <w:tblGrid>
        <w:gridCol w:w="1560"/>
        <w:gridCol w:w="1559"/>
        <w:gridCol w:w="1843"/>
        <w:gridCol w:w="1880"/>
        <w:gridCol w:w="2602"/>
      </w:tblGrid>
      <w:tr w:rsidR="00F80D99" w:rsidRPr="00F80D99" w:rsidTr="00DF11B9">
        <w:tc>
          <w:tcPr>
            <w:tcW w:w="1560" w:type="dxa"/>
            <w:vMerge w:val="restart"/>
          </w:tcPr>
          <w:p w:rsidR="00F80D99" w:rsidRPr="00F80D99" w:rsidRDefault="00F80D99" w:rsidP="00F80D99">
            <w:pPr>
              <w:ind w:left="0"/>
              <w:rPr>
                <w:b/>
                <w:sz w:val="20"/>
              </w:rPr>
            </w:pPr>
            <w:r w:rsidRPr="00F80D99">
              <w:rPr>
                <w:b/>
                <w:sz w:val="20"/>
              </w:rPr>
              <w:t>Resource owner</w:t>
            </w:r>
          </w:p>
        </w:tc>
        <w:tc>
          <w:tcPr>
            <w:tcW w:w="3402" w:type="dxa"/>
            <w:gridSpan w:val="2"/>
          </w:tcPr>
          <w:p w:rsidR="00F80D99" w:rsidRPr="00F80D99" w:rsidRDefault="00F80D99" w:rsidP="00F80D99">
            <w:pPr>
              <w:ind w:left="0"/>
              <w:rPr>
                <w:b/>
                <w:sz w:val="20"/>
              </w:rPr>
            </w:pPr>
            <w:r w:rsidRPr="00F80D99">
              <w:rPr>
                <w:b/>
                <w:sz w:val="20"/>
              </w:rPr>
              <w:t>Resource domain</w:t>
            </w:r>
          </w:p>
        </w:tc>
        <w:tc>
          <w:tcPr>
            <w:tcW w:w="4482" w:type="dxa"/>
            <w:gridSpan w:val="2"/>
          </w:tcPr>
          <w:p w:rsidR="00F80D99" w:rsidRPr="00F80D99" w:rsidRDefault="00F80D99" w:rsidP="00F80D99">
            <w:pPr>
              <w:ind w:left="0"/>
              <w:rPr>
                <w:b/>
                <w:sz w:val="20"/>
              </w:rPr>
            </w:pPr>
            <w:r w:rsidRPr="00F80D99">
              <w:rPr>
                <w:b/>
                <w:sz w:val="20"/>
              </w:rPr>
              <w:t>Third party consuming domain</w:t>
            </w:r>
          </w:p>
        </w:tc>
      </w:tr>
      <w:tr w:rsidR="00F80D99" w:rsidRPr="00F80D99" w:rsidTr="00DF11B9">
        <w:tc>
          <w:tcPr>
            <w:tcW w:w="1560" w:type="dxa"/>
            <w:vMerge/>
          </w:tcPr>
          <w:p w:rsidR="00F80D99" w:rsidRPr="00F80D99" w:rsidRDefault="00F80D99" w:rsidP="00F80D99">
            <w:pPr>
              <w:ind w:left="0"/>
              <w:rPr>
                <w:b/>
                <w:sz w:val="20"/>
              </w:rPr>
            </w:pPr>
          </w:p>
        </w:tc>
        <w:tc>
          <w:tcPr>
            <w:tcW w:w="1559" w:type="dxa"/>
          </w:tcPr>
          <w:p w:rsidR="00F80D99" w:rsidRPr="00F80D99" w:rsidRDefault="00F80D99" w:rsidP="00F80D99">
            <w:pPr>
              <w:ind w:left="0"/>
              <w:rPr>
                <w:b/>
                <w:sz w:val="20"/>
              </w:rPr>
            </w:pPr>
            <w:r w:rsidRPr="00F80D99">
              <w:rPr>
                <w:b/>
                <w:sz w:val="20"/>
              </w:rPr>
              <w:t>Organisation</w:t>
            </w:r>
          </w:p>
        </w:tc>
        <w:tc>
          <w:tcPr>
            <w:tcW w:w="1843" w:type="dxa"/>
          </w:tcPr>
          <w:p w:rsidR="00F80D99" w:rsidRPr="00F80D99" w:rsidRDefault="00F80D99" w:rsidP="00F80D99">
            <w:pPr>
              <w:ind w:left="0"/>
              <w:rPr>
                <w:b/>
                <w:sz w:val="20"/>
              </w:rPr>
            </w:pPr>
            <w:r w:rsidRPr="00F80D99">
              <w:rPr>
                <w:b/>
                <w:sz w:val="20"/>
              </w:rPr>
              <w:t>Resource</w:t>
            </w:r>
          </w:p>
        </w:tc>
        <w:tc>
          <w:tcPr>
            <w:tcW w:w="1880" w:type="dxa"/>
          </w:tcPr>
          <w:p w:rsidR="00F80D99" w:rsidRPr="00F80D99" w:rsidRDefault="00F80D99" w:rsidP="00F80D99">
            <w:pPr>
              <w:ind w:left="0"/>
              <w:rPr>
                <w:b/>
                <w:sz w:val="20"/>
              </w:rPr>
            </w:pPr>
            <w:r w:rsidRPr="00F80D99">
              <w:rPr>
                <w:b/>
                <w:sz w:val="20"/>
              </w:rPr>
              <w:t>Organisation</w:t>
            </w:r>
          </w:p>
        </w:tc>
        <w:tc>
          <w:tcPr>
            <w:tcW w:w="2602" w:type="dxa"/>
          </w:tcPr>
          <w:p w:rsidR="00F80D99" w:rsidRPr="00F80D99" w:rsidRDefault="00F80D99" w:rsidP="00F80D99">
            <w:pPr>
              <w:ind w:left="0"/>
              <w:rPr>
                <w:b/>
                <w:sz w:val="20"/>
              </w:rPr>
            </w:pPr>
            <w:r w:rsidRPr="00F80D99">
              <w:rPr>
                <w:b/>
                <w:sz w:val="20"/>
              </w:rPr>
              <w:t>Application client</w:t>
            </w:r>
          </w:p>
        </w:tc>
      </w:tr>
      <w:tr w:rsidR="00F80D99" w:rsidRPr="00F80D99" w:rsidTr="00F80D99">
        <w:tc>
          <w:tcPr>
            <w:tcW w:w="9444" w:type="dxa"/>
            <w:gridSpan w:val="5"/>
          </w:tcPr>
          <w:p w:rsidR="00F80D99" w:rsidRPr="00F80D99" w:rsidRDefault="00F80D99" w:rsidP="00F80D99">
            <w:pPr>
              <w:ind w:left="0"/>
              <w:rPr>
                <w:sz w:val="20"/>
              </w:rPr>
            </w:pPr>
            <w:r w:rsidRPr="00F80D99">
              <w:rPr>
                <w:b/>
                <w:sz w:val="20"/>
              </w:rPr>
              <w:t>Use case</w:t>
            </w:r>
            <w:r w:rsidRPr="00F80D99">
              <w:rPr>
                <w:sz w:val="20"/>
              </w:rPr>
              <w:t>: John downloads the ‘SmartCal’ mobile app wishes to grant the app access to his Google Calendar</w:t>
            </w:r>
          </w:p>
        </w:tc>
      </w:tr>
      <w:tr w:rsidR="00F80D99" w:rsidRPr="00F80D99" w:rsidTr="00DF11B9">
        <w:tc>
          <w:tcPr>
            <w:tcW w:w="1560" w:type="dxa"/>
          </w:tcPr>
          <w:p w:rsidR="00F80D99" w:rsidRPr="00F80D99" w:rsidRDefault="00F80D99" w:rsidP="00F80D99">
            <w:pPr>
              <w:ind w:left="0"/>
              <w:rPr>
                <w:sz w:val="20"/>
              </w:rPr>
            </w:pPr>
            <w:r w:rsidRPr="00F80D99">
              <w:rPr>
                <w:sz w:val="20"/>
              </w:rPr>
              <w:t>John Phillips</w:t>
            </w:r>
          </w:p>
        </w:tc>
        <w:tc>
          <w:tcPr>
            <w:tcW w:w="1559" w:type="dxa"/>
          </w:tcPr>
          <w:p w:rsidR="00F80D99" w:rsidRPr="00F80D99" w:rsidRDefault="00F80D99" w:rsidP="00F80D99">
            <w:pPr>
              <w:ind w:left="0"/>
              <w:rPr>
                <w:sz w:val="20"/>
              </w:rPr>
            </w:pPr>
            <w:r w:rsidRPr="00F80D99">
              <w:rPr>
                <w:sz w:val="20"/>
              </w:rPr>
              <w:t>Google</w:t>
            </w:r>
          </w:p>
        </w:tc>
        <w:tc>
          <w:tcPr>
            <w:tcW w:w="1843" w:type="dxa"/>
          </w:tcPr>
          <w:p w:rsidR="00F80D99" w:rsidRPr="00F80D99" w:rsidRDefault="00F80D99" w:rsidP="00F80D99">
            <w:pPr>
              <w:ind w:left="0"/>
              <w:rPr>
                <w:sz w:val="20"/>
              </w:rPr>
            </w:pPr>
            <w:r w:rsidRPr="00F80D99">
              <w:rPr>
                <w:sz w:val="20"/>
              </w:rPr>
              <w:t>John’s personal calendar</w:t>
            </w:r>
          </w:p>
        </w:tc>
        <w:tc>
          <w:tcPr>
            <w:tcW w:w="1880" w:type="dxa"/>
          </w:tcPr>
          <w:p w:rsidR="00F80D99" w:rsidRPr="00F80D99" w:rsidRDefault="00F80D99" w:rsidP="00F80D99">
            <w:pPr>
              <w:ind w:left="0"/>
              <w:rPr>
                <w:sz w:val="20"/>
              </w:rPr>
            </w:pPr>
            <w:r w:rsidRPr="00F80D99">
              <w:rPr>
                <w:sz w:val="20"/>
              </w:rPr>
              <w:t>Calendars R Us</w:t>
            </w:r>
          </w:p>
        </w:tc>
        <w:tc>
          <w:tcPr>
            <w:tcW w:w="2602" w:type="dxa"/>
          </w:tcPr>
          <w:p w:rsidR="00F80D99" w:rsidRPr="00F80D99" w:rsidRDefault="00F80D99" w:rsidP="00F80D99">
            <w:pPr>
              <w:ind w:left="0"/>
              <w:rPr>
                <w:sz w:val="20"/>
              </w:rPr>
            </w:pPr>
            <w:r w:rsidRPr="00F80D99">
              <w:rPr>
                <w:sz w:val="20"/>
              </w:rPr>
              <w:t>SmartCal mobile app</w:t>
            </w:r>
          </w:p>
        </w:tc>
      </w:tr>
      <w:tr w:rsidR="00F80D99" w:rsidRPr="00F80D99" w:rsidTr="00F80D99">
        <w:tc>
          <w:tcPr>
            <w:tcW w:w="9444" w:type="dxa"/>
            <w:gridSpan w:val="5"/>
          </w:tcPr>
          <w:p w:rsidR="00F80D99" w:rsidRPr="00F80D99" w:rsidRDefault="00F80D99" w:rsidP="00F80D99">
            <w:pPr>
              <w:ind w:left="0"/>
              <w:rPr>
                <w:sz w:val="20"/>
              </w:rPr>
            </w:pPr>
            <w:r w:rsidRPr="00F80D99">
              <w:rPr>
                <w:b/>
                <w:sz w:val="20"/>
              </w:rPr>
              <w:t>Use case</w:t>
            </w:r>
            <w:r w:rsidRPr="00F80D99">
              <w:rPr>
                <w:sz w:val="20"/>
              </w:rPr>
              <w:t>: A citizen via an online website chat can delegate access to a customer service agent to perform a specific function for the next 30 minutes on their behalf against a backend agency franchise system</w:t>
            </w:r>
          </w:p>
        </w:tc>
      </w:tr>
      <w:tr w:rsidR="00F80D99" w:rsidRPr="00F80D99" w:rsidTr="00DF11B9">
        <w:tc>
          <w:tcPr>
            <w:tcW w:w="1560" w:type="dxa"/>
          </w:tcPr>
          <w:p w:rsidR="00F80D99" w:rsidRPr="00F80D99" w:rsidRDefault="00F80D99" w:rsidP="00F80D99">
            <w:pPr>
              <w:ind w:left="0"/>
              <w:rPr>
                <w:sz w:val="20"/>
              </w:rPr>
            </w:pPr>
            <w:r w:rsidRPr="00F80D99">
              <w:rPr>
                <w:sz w:val="20"/>
              </w:rPr>
              <w:t>John Phillips</w:t>
            </w:r>
          </w:p>
        </w:tc>
        <w:tc>
          <w:tcPr>
            <w:tcW w:w="1559" w:type="dxa"/>
          </w:tcPr>
          <w:p w:rsidR="00F80D99" w:rsidRPr="00F80D99" w:rsidRDefault="00F80D99" w:rsidP="00F80D99">
            <w:pPr>
              <w:ind w:left="0"/>
              <w:rPr>
                <w:sz w:val="20"/>
              </w:rPr>
            </w:pPr>
            <w:r w:rsidRPr="00F80D99">
              <w:rPr>
                <w:sz w:val="20"/>
              </w:rPr>
              <w:t>Queensland Government agency</w:t>
            </w:r>
          </w:p>
        </w:tc>
        <w:tc>
          <w:tcPr>
            <w:tcW w:w="1843" w:type="dxa"/>
          </w:tcPr>
          <w:p w:rsidR="00F80D99" w:rsidRPr="00F80D99" w:rsidRDefault="00F80D99" w:rsidP="00F80D99">
            <w:pPr>
              <w:ind w:left="0"/>
              <w:rPr>
                <w:sz w:val="20"/>
              </w:rPr>
            </w:pPr>
            <w:r w:rsidRPr="00F80D99">
              <w:rPr>
                <w:sz w:val="20"/>
              </w:rPr>
              <w:t>Heavy Vehicle Registration</w:t>
            </w:r>
          </w:p>
        </w:tc>
        <w:tc>
          <w:tcPr>
            <w:tcW w:w="1880" w:type="dxa"/>
          </w:tcPr>
          <w:p w:rsidR="00F80D99" w:rsidRPr="00F80D99" w:rsidRDefault="00F80D99" w:rsidP="00F80D99">
            <w:pPr>
              <w:ind w:left="0"/>
              <w:rPr>
                <w:sz w:val="20"/>
              </w:rPr>
            </w:pPr>
            <w:r w:rsidRPr="00F80D99">
              <w:rPr>
                <w:sz w:val="20"/>
              </w:rPr>
              <w:t>RegoChecker</w:t>
            </w:r>
          </w:p>
        </w:tc>
        <w:tc>
          <w:tcPr>
            <w:tcW w:w="2602" w:type="dxa"/>
          </w:tcPr>
          <w:p w:rsidR="00F80D99" w:rsidRPr="00F80D99" w:rsidRDefault="00F80D99" w:rsidP="00F80D99">
            <w:pPr>
              <w:ind w:left="0"/>
              <w:rPr>
                <w:sz w:val="20"/>
              </w:rPr>
            </w:pPr>
            <w:r w:rsidRPr="00F80D99">
              <w:rPr>
                <w:sz w:val="20"/>
              </w:rPr>
              <w:t>App</w:t>
            </w:r>
          </w:p>
        </w:tc>
      </w:tr>
    </w:tbl>
    <w:p w:rsidR="00F80D99" w:rsidRPr="00376BBF" w:rsidRDefault="00F80D99" w:rsidP="00DF11B9">
      <w:pPr>
        <w:pStyle w:val="Heading4"/>
      </w:pPr>
      <w:r w:rsidRPr="00376BBF">
        <w:t>Process flow – obtain authorisation process</w:t>
      </w:r>
    </w:p>
    <w:p w:rsidR="00F80D99" w:rsidRPr="00376BBF" w:rsidRDefault="00F80D99" w:rsidP="00F80D99">
      <w:r w:rsidRPr="00376BBF">
        <w:t>The following describes the process for a resource owner to provide delegated access to a resource they own when using a third party application:</w:t>
      </w:r>
    </w:p>
    <w:p w:rsidR="00F80D99" w:rsidRPr="00376BBF" w:rsidRDefault="00F80D99" w:rsidP="00DF11B9">
      <w:pPr>
        <w:pStyle w:val="Bullet1"/>
      </w:pPr>
      <w:r w:rsidRPr="00376BBF">
        <w:t>the resource owner using the third party application client attempts to access a resource they own hosted at the resource server</w:t>
      </w:r>
    </w:p>
    <w:p w:rsidR="00F80D99" w:rsidRPr="00376BBF" w:rsidRDefault="00F80D99" w:rsidP="00DF11B9">
      <w:pPr>
        <w:pStyle w:val="Bullet1"/>
      </w:pPr>
      <w:r w:rsidRPr="00376BBF">
        <w:t>the resource owner is prompted to authenticate to the resource server’s authorisation server (responsible for protecting the resource)</w:t>
      </w:r>
    </w:p>
    <w:p w:rsidR="00F80D99" w:rsidRPr="00376BBF" w:rsidRDefault="00F80D99" w:rsidP="00DF11B9">
      <w:pPr>
        <w:pStyle w:val="Bullet1"/>
      </w:pPr>
      <w:r w:rsidRPr="00376BBF">
        <w:t>once authenticated, the resource owner must consent to the permissions requested from the third party application client</w:t>
      </w:r>
    </w:p>
    <w:p w:rsidR="00F80D99" w:rsidRPr="00376BBF" w:rsidRDefault="00F80D99" w:rsidP="00DF11B9">
      <w:pPr>
        <w:pStyle w:val="Bullet1"/>
      </w:pPr>
      <w:r w:rsidRPr="00376BBF">
        <w:t>if approved, the authorisation server provides the application client with an access token</w:t>
      </w:r>
    </w:p>
    <w:p w:rsidR="00F80D99" w:rsidRPr="00376BBF" w:rsidRDefault="00F80D99" w:rsidP="00DF11B9">
      <w:pPr>
        <w:pStyle w:val="Bullet1"/>
      </w:pPr>
      <w:r w:rsidRPr="00376BBF">
        <w:t>the third party application client presents the access token when making requests to the protected resource.</w:t>
      </w:r>
    </w:p>
    <w:p w:rsidR="00F80D99" w:rsidRPr="00376BBF" w:rsidRDefault="00F80D99" w:rsidP="00DF11B9">
      <w:pPr>
        <w:pStyle w:val="Heading4"/>
      </w:pPr>
      <w:r w:rsidRPr="00376BBF">
        <w:t>Central delegation across resources for party-to-party (person-to-person and person-to-organisation) sharing – user controlled consent (UMA Protocol)</w:t>
      </w:r>
    </w:p>
    <w:p w:rsidR="00F80D99" w:rsidRPr="00376BBF" w:rsidRDefault="00F80D99" w:rsidP="00F80D99">
      <w:r w:rsidRPr="00376BBF">
        <w:t>The diagram on page 9 depicts the five primary roles of resource owner, resource server, authorisation server, application client and requesting party, their relationships and domain boundaries. The roles are intended to work in an interoperable fashion where each is operated by an independent party (for example, different organisations).</w:t>
      </w:r>
    </w:p>
    <w:p w:rsidR="00F80D99" w:rsidRPr="00376BBF" w:rsidRDefault="00F80D99" w:rsidP="00F80D99">
      <w:r w:rsidRPr="00376BBF">
        <w:t>The notable differences to the single resource delegation model are:</w:t>
      </w:r>
    </w:p>
    <w:p w:rsidR="00F80D99" w:rsidRPr="00376BBF" w:rsidRDefault="00F80D99" w:rsidP="00DF11B9">
      <w:pPr>
        <w:pStyle w:val="Bullet1"/>
      </w:pPr>
      <w:r w:rsidRPr="00376BBF">
        <w:t>authorisation is managed centrally for multiple resource domains</w:t>
      </w:r>
    </w:p>
    <w:p w:rsidR="00F80D99" w:rsidRPr="00376BBF" w:rsidRDefault="00F80D99" w:rsidP="00DF11B9">
      <w:pPr>
        <w:pStyle w:val="Bullet1"/>
      </w:pPr>
      <w:r w:rsidRPr="00376BBF">
        <w:t>the central authorisation service may be provided by another entity chosen by the individual</w:t>
      </w:r>
    </w:p>
    <w:p w:rsidR="00F80D99" w:rsidRPr="00376BBF" w:rsidRDefault="00F80D99" w:rsidP="00DF11B9">
      <w:pPr>
        <w:pStyle w:val="Bullet1"/>
      </w:pPr>
      <w:r w:rsidRPr="00376BBF">
        <w:t>delegations can be managed/established at any time and ahead of time</w:t>
      </w:r>
    </w:p>
    <w:p w:rsidR="00F80D99" w:rsidRPr="00376BBF" w:rsidRDefault="00F80D99" w:rsidP="00DF11B9">
      <w:pPr>
        <w:pStyle w:val="Bullet1"/>
      </w:pPr>
      <w:r w:rsidRPr="00376BBF">
        <w:t>the requesting party (an individual or business) is known and can be authenticated (if required)</w:t>
      </w:r>
    </w:p>
    <w:p w:rsidR="00F80D99" w:rsidRPr="00376BBF" w:rsidRDefault="00F80D99" w:rsidP="00F80D99">
      <w:r w:rsidRPr="00376BBF">
        <w:t xml:space="preserve">The authorisation server will authenticate the resource owner, or may federate with an IdP for authentication. In this case, the OAuth-based OpenID connect protocol can be used as </w:t>
      </w:r>
      <w:r w:rsidRPr="00376BBF">
        <w:lastRenderedPageBreak/>
        <w:t>a means of collecting identity claims from a requesting party in order to attempt to satisfy the authorising user's access policy</w:t>
      </w:r>
      <w:r w:rsidRPr="00376BBF">
        <w:endnoteReference w:id="2"/>
      </w:r>
      <w:r w:rsidRPr="00376BBF">
        <w:t>.</w:t>
      </w:r>
    </w:p>
    <w:p w:rsidR="00F80D99" w:rsidRPr="00376BBF" w:rsidRDefault="00F80D99" w:rsidP="00DF11B9">
      <w:pPr>
        <w:jc w:val="center"/>
      </w:pPr>
      <w:r w:rsidRPr="00376BBF">
        <w:object w:dxaOrig="10189" w:dyaOrig="10400">
          <v:shape id="_x0000_i1028" type="#_x0000_t75" style="width:369.5pt;height:379pt" o:ole="">
            <v:imagedata r:id="rId23" o:title=""/>
          </v:shape>
          <o:OLEObject Type="Embed" ProgID="Visio.Drawing.15" ShapeID="_x0000_i1028" DrawAspect="Content" ObjectID="_1558173632" r:id="rId24"/>
        </w:object>
      </w:r>
    </w:p>
    <w:p w:rsidR="00F80D99" w:rsidRPr="00376BBF" w:rsidRDefault="00F80D99" w:rsidP="00F80D99">
      <w:r w:rsidRPr="00376BBF">
        <w:t>The table below outlines some examples of central resource delegation and the respective actors of each role:</w:t>
      </w:r>
    </w:p>
    <w:p w:rsidR="00F80D99" w:rsidRPr="00376BBF" w:rsidRDefault="00F80D99" w:rsidP="00F80D99"/>
    <w:tbl>
      <w:tblPr>
        <w:tblStyle w:val="TableGrid"/>
        <w:tblW w:w="9606" w:type="dxa"/>
        <w:tblInd w:w="562" w:type="dxa"/>
        <w:tblLayout w:type="fixed"/>
        <w:tblLook w:val="04A0" w:firstRow="1" w:lastRow="0" w:firstColumn="1" w:lastColumn="0" w:noHBand="0" w:noVBand="1"/>
      </w:tblPr>
      <w:tblGrid>
        <w:gridCol w:w="1128"/>
        <w:gridCol w:w="1456"/>
        <w:gridCol w:w="1244"/>
        <w:gridCol w:w="1559"/>
        <w:gridCol w:w="1486"/>
        <w:gridCol w:w="1428"/>
        <w:gridCol w:w="1305"/>
      </w:tblGrid>
      <w:tr w:rsidR="00592E24" w:rsidRPr="00592E24" w:rsidTr="00592E24">
        <w:tc>
          <w:tcPr>
            <w:tcW w:w="1128" w:type="dxa"/>
            <w:vMerge w:val="restart"/>
          </w:tcPr>
          <w:p w:rsidR="00F80D99" w:rsidRPr="00592E24" w:rsidRDefault="00F80D99" w:rsidP="00592E24">
            <w:pPr>
              <w:ind w:left="0"/>
              <w:rPr>
                <w:b/>
                <w:sz w:val="20"/>
              </w:rPr>
            </w:pPr>
            <w:r w:rsidRPr="00592E24">
              <w:rPr>
                <w:b/>
                <w:sz w:val="20"/>
              </w:rPr>
              <w:t>Resource owner</w:t>
            </w:r>
          </w:p>
        </w:tc>
        <w:tc>
          <w:tcPr>
            <w:tcW w:w="2700" w:type="dxa"/>
            <w:gridSpan w:val="2"/>
          </w:tcPr>
          <w:p w:rsidR="00F80D99" w:rsidRPr="00592E24" w:rsidRDefault="00F80D99" w:rsidP="00592E24">
            <w:pPr>
              <w:ind w:left="6"/>
              <w:rPr>
                <w:b/>
                <w:sz w:val="20"/>
              </w:rPr>
            </w:pPr>
            <w:r w:rsidRPr="00592E24">
              <w:rPr>
                <w:b/>
                <w:sz w:val="20"/>
              </w:rPr>
              <w:t>Resource domain/s</w:t>
            </w:r>
          </w:p>
        </w:tc>
        <w:tc>
          <w:tcPr>
            <w:tcW w:w="1559" w:type="dxa"/>
            <w:vMerge w:val="restart"/>
          </w:tcPr>
          <w:p w:rsidR="00F80D99" w:rsidRPr="00592E24" w:rsidRDefault="00F80D99" w:rsidP="00592E24">
            <w:pPr>
              <w:ind w:left="0"/>
              <w:rPr>
                <w:b/>
                <w:sz w:val="20"/>
              </w:rPr>
            </w:pPr>
            <w:r w:rsidRPr="00592E24">
              <w:rPr>
                <w:b/>
                <w:sz w:val="20"/>
              </w:rPr>
              <w:t>Central authorisation manager service</w:t>
            </w:r>
          </w:p>
        </w:tc>
        <w:tc>
          <w:tcPr>
            <w:tcW w:w="4219" w:type="dxa"/>
            <w:gridSpan w:val="3"/>
          </w:tcPr>
          <w:p w:rsidR="00F80D99" w:rsidRPr="00592E24" w:rsidRDefault="00F80D99" w:rsidP="00592E24">
            <w:pPr>
              <w:ind w:left="0"/>
              <w:rPr>
                <w:b/>
                <w:sz w:val="20"/>
              </w:rPr>
            </w:pPr>
            <w:r w:rsidRPr="00592E24">
              <w:rPr>
                <w:b/>
                <w:sz w:val="20"/>
              </w:rPr>
              <w:t>Third party consuming domain</w:t>
            </w:r>
          </w:p>
        </w:tc>
      </w:tr>
      <w:tr w:rsidR="00592E24" w:rsidRPr="00592E24" w:rsidTr="00592E24">
        <w:tc>
          <w:tcPr>
            <w:tcW w:w="1128" w:type="dxa"/>
            <w:vMerge/>
          </w:tcPr>
          <w:p w:rsidR="00F80D99" w:rsidRPr="00592E24" w:rsidRDefault="00F80D99" w:rsidP="00592E24">
            <w:pPr>
              <w:ind w:left="0"/>
              <w:rPr>
                <w:b/>
                <w:sz w:val="20"/>
              </w:rPr>
            </w:pPr>
          </w:p>
        </w:tc>
        <w:tc>
          <w:tcPr>
            <w:tcW w:w="1456" w:type="dxa"/>
          </w:tcPr>
          <w:p w:rsidR="00F80D99" w:rsidRPr="00592E24" w:rsidRDefault="00F80D99" w:rsidP="00592E24">
            <w:pPr>
              <w:ind w:left="6"/>
              <w:rPr>
                <w:b/>
                <w:sz w:val="20"/>
              </w:rPr>
            </w:pPr>
            <w:r w:rsidRPr="00592E24">
              <w:rPr>
                <w:b/>
                <w:sz w:val="20"/>
              </w:rPr>
              <w:t>Organisation</w:t>
            </w:r>
          </w:p>
        </w:tc>
        <w:tc>
          <w:tcPr>
            <w:tcW w:w="1244" w:type="dxa"/>
          </w:tcPr>
          <w:p w:rsidR="00F80D99" w:rsidRPr="00592E24" w:rsidRDefault="00F80D99" w:rsidP="00592E24">
            <w:pPr>
              <w:ind w:left="6"/>
              <w:rPr>
                <w:b/>
                <w:sz w:val="20"/>
              </w:rPr>
            </w:pPr>
            <w:r w:rsidRPr="00592E24">
              <w:rPr>
                <w:b/>
                <w:sz w:val="20"/>
              </w:rPr>
              <w:t>Resource</w:t>
            </w:r>
          </w:p>
        </w:tc>
        <w:tc>
          <w:tcPr>
            <w:tcW w:w="1559" w:type="dxa"/>
            <w:vMerge/>
          </w:tcPr>
          <w:p w:rsidR="00F80D99" w:rsidRPr="00592E24" w:rsidRDefault="00F80D99" w:rsidP="00592E24">
            <w:pPr>
              <w:ind w:left="0"/>
              <w:rPr>
                <w:b/>
                <w:sz w:val="20"/>
              </w:rPr>
            </w:pPr>
          </w:p>
        </w:tc>
        <w:tc>
          <w:tcPr>
            <w:tcW w:w="1486" w:type="dxa"/>
          </w:tcPr>
          <w:p w:rsidR="00F80D99" w:rsidRPr="00592E24" w:rsidRDefault="00F80D99" w:rsidP="00592E24">
            <w:pPr>
              <w:ind w:left="0"/>
              <w:rPr>
                <w:b/>
                <w:sz w:val="20"/>
              </w:rPr>
            </w:pPr>
            <w:r w:rsidRPr="00592E24">
              <w:rPr>
                <w:b/>
                <w:sz w:val="20"/>
              </w:rPr>
              <w:t>Organisation</w:t>
            </w:r>
          </w:p>
        </w:tc>
        <w:tc>
          <w:tcPr>
            <w:tcW w:w="1428" w:type="dxa"/>
          </w:tcPr>
          <w:p w:rsidR="00F80D99" w:rsidRPr="00592E24" w:rsidRDefault="00F80D99" w:rsidP="00592E24">
            <w:pPr>
              <w:ind w:left="0"/>
              <w:rPr>
                <w:b/>
                <w:sz w:val="20"/>
              </w:rPr>
            </w:pPr>
            <w:r w:rsidRPr="00592E24">
              <w:rPr>
                <w:b/>
                <w:sz w:val="20"/>
              </w:rPr>
              <w:t>Application client</w:t>
            </w:r>
          </w:p>
        </w:tc>
        <w:tc>
          <w:tcPr>
            <w:tcW w:w="1305" w:type="dxa"/>
          </w:tcPr>
          <w:p w:rsidR="00F80D99" w:rsidRPr="00592E24" w:rsidRDefault="00F80D99" w:rsidP="00592E24">
            <w:pPr>
              <w:ind w:left="0"/>
              <w:rPr>
                <w:b/>
                <w:sz w:val="20"/>
              </w:rPr>
            </w:pPr>
            <w:r w:rsidRPr="00592E24">
              <w:rPr>
                <w:b/>
                <w:sz w:val="20"/>
              </w:rPr>
              <w:t>Requesting party</w:t>
            </w:r>
          </w:p>
        </w:tc>
      </w:tr>
      <w:tr w:rsidR="00F80D99" w:rsidRPr="00592E24" w:rsidTr="00592E24">
        <w:tc>
          <w:tcPr>
            <w:tcW w:w="9606" w:type="dxa"/>
            <w:gridSpan w:val="7"/>
          </w:tcPr>
          <w:p w:rsidR="00F80D99" w:rsidRPr="00592E24" w:rsidRDefault="00F80D99" w:rsidP="00592E24">
            <w:pPr>
              <w:ind w:left="0"/>
              <w:rPr>
                <w:sz w:val="20"/>
              </w:rPr>
            </w:pPr>
            <w:r w:rsidRPr="00592E24">
              <w:rPr>
                <w:b/>
                <w:sz w:val="20"/>
              </w:rPr>
              <w:t>Use case</w:t>
            </w:r>
            <w:r w:rsidRPr="00592E24">
              <w:rPr>
                <w:sz w:val="20"/>
              </w:rPr>
              <w:t>: A patient provides consent/authorisation for clinicians or healthcare providers to access their health record</w:t>
            </w:r>
          </w:p>
        </w:tc>
      </w:tr>
      <w:tr w:rsidR="00592E24" w:rsidRPr="00592E24" w:rsidTr="00592E24">
        <w:tc>
          <w:tcPr>
            <w:tcW w:w="1128" w:type="dxa"/>
          </w:tcPr>
          <w:p w:rsidR="00F80D99" w:rsidRPr="00592E24" w:rsidRDefault="00F80D99" w:rsidP="00592E24">
            <w:pPr>
              <w:ind w:left="0"/>
              <w:rPr>
                <w:sz w:val="20"/>
              </w:rPr>
            </w:pPr>
            <w:r w:rsidRPr="00592E24">
              <w:rPr>
                <w:sz w:val="20"/>
              </w:rPr>
              <w:t>Patient</w:t>
            </w:r>
          </w:p>
        </w:tc>
        <w:tc>
          <w:tcPr>
            <w:tcW w:w="1456" w:type="dxa"/>
          </w:tcPr>
          <w:p w:rsidR="00F80D99" w:rsidRPr="00592E24" w:rsidRDefault="00F80D99" w:rsidP="00592E24">
            <w:pPr>
              <w:ind w:left="6"/>
              <w:rPr>
                <w:sz w:val="20"/>
              </w:rPr>
            </w:pPr>
            <w:r w:rsidRPr="00592E24">
              <w:rPr>
                <w:sz w:val="20"/>
              </w:rPr>
              <w:t>Queensland Health</w:t>
            </w:r>
          </w:p>
        </w:tc>
        <w:tc>
          <w:tcPr>
            <w:tcW w:w="1244" w:type="dxa"/>
          </w:tcPr>
          <w:p w:rsidR="00F80D99" w:rsidRPr="00592E24" w:rsidRDefault="00F80D99" w:rsidP="00592E24">
            <w:pPr>
              <w:ind w:left="6"/>
              <w:rPr>
                <w:sz w:val="20"/>
              </w:rPr>
            </w:pPr>
            <w:r w:rsidRPr="00592E24">
              <w:rPr>
                <w:sz w:val="20"/>
              </w:rPr>
              <w:t>Health record (e.g. discharge summary)</w:t>
            </w:r>
          </w:p>
        </w:tc>
        <w:tc>
          <w:tcPr>
            <w:tcW w:w="1559" w:type="dxa"/>
          </w:tcPr>
          <w:p w:rsidR="00F80D99" w:rsidRPr="00592E24" w:rsidRDefault="00F80D99" w:rsidP="00592E24">
            <w:pPr>
              <w:ind w:left="0"/>
              <w:rPr>
                <w:sz w:val="20"/>
              </w:rPr>
            </w:pPr>
            <w:r w:rsidRPr="00592E24">
              <w:rPr>
                <w:sz w:val="20"/>
              </w:rPr>
              <w:t>MyGov</w:t>
            </w:r>
          </w:p>
        </w:tc>
        <w:tc>
          <w:tcPr>
            <w:tcW w:w="1486" w:type="dxa"/>
          </w:tcPr>
          <w:p w:rsidR="00F80D99" w:rsidRPr="00592E24" w:rsidRDefault="00F80D99" w:rsidP="00592E24">
            <w:pPr>
              <w:ind w:left="0"/>
              <w:rPr>
                <w:sz w:val="20"/>
              </w:rPr>
            </w:pPr>
            <w:r w:rsidRPr="00592E24">
              <w:rPr>
                <w:sz w:val="20"/>
              </w:rPr>
              <w:t>Healthcare provider</w:t>
            </w:r>
          </w:p>
        </w:tc>
        <w:tc>
          <w:tcPr>
            <w:tcW w:w="1428" w:type="dxa"/>
          </w:tcPr>
          <w:p w:rsidR="00F80D99" w:rsidRPr="00592E24" w:rsidRDefault="00F80D99" w:rsidP="00592E24">
            <w:pPr>
              <w:ind w:left="0"/>
              <w:rPr>
                <w:sz w:val="20"/>
              </w:rPr>
            </w:pPr>
            <w:r w:rsidRPr="00592E24">
              <w:rPr>
                <w:sz w:val="20"/>
              </w:rPr>
              <w:t>Medical Record system</w:t>
            </w:r>
          </w:p>
        </w:tc>
        <w:tc>
          <w:tcPr>
            <w:tcW w:w="1305" w:type="dxa"/>
          </w:tcPr>
          <w:p w:rsidR="00F80D99" w:rsidRPr="00592E24" w:rsidRDefault="00F80D99" w:rsidP="00592E24">
            <w:pPr>
              <w:ind w:left="0"/>
              <w:rPr>
                <w:sz w:val="20"/>
              </w:rPr>
            </w:pPr>
            <w:r w:rsidRPr="00592E24">
              <w:rPr>
                <w:sz w:val="20"/>
              </w:rPr>
              <w:t>Healthcare provider or individual clinician</w:t>
            </w:r>
          </w:p>
        </w:tc>
      </w:tr>
      <w:tr w:rsidR="00592E24" w:rsidRPr="00592E24" w:rsidTr="00592E24">
        <w:tc>
          <w:tcPr>
            <w:tcW w:w="1128" w:type="dxa"/>
          </w:tcPr>
          <w:p w:rsidR="00F80D99" w:rsidRPr="00592E24" w:rsidRDefault="00F80D99" w:rsidP="00592E24">
            <w:pPr>
              <w:ind w:left="0"/>
              <w:rPr>
                <w:sz w:val="20"/>
              </w:rPr>
            </w:pPr>
            <w:r w:rsidRPr="00592E24">
              <w:rPr>
                <w:sz w:val="20"/>
              </w:rPr>
              <w:t>Patient</w:t>
            </w:r>
          </w:p>
        </w:tc>
        <w:tc>
          <w:tcPr>
            <w:tcW w:w="1456" w:type="dxa"/>
          </w:tcPr>
          <w:p w:rsidR="00F80D99" w:rsidRPr="00592E24" w:rsidRDefault="00F80D99" w:rsidP="00592E24">
            <w:pPr>
              <w:ind w:left="6"/>
              <w:rPr>
                <w:sz w:val="20"/>
              </w:rPr>
            </w:pPr>
            <w:r w:rsidRPr="00592E24">
              <w:rPr>
                <w:sz w:val="20"/>
              </w:rPr>
              <w:t>Healthcare provider</w:t>
            </w:r>
          </w:p>
        </w:tc>
        <w:tc>
          <w:tcPr>
            <w:tcW w:w="1244" w:type="dxa"/>
          </w:tcPr>
          <w:p w:rsidR="00F80D99" w:rsidRPr="00592E24" w:rsidRDefault="00F80D99" w:rsidP="00592E24">
            <w:pPr>
              <w:ind w:left="6"/>
              <w:rPr>
                <w:sz w:val="20"/>
              </w:rPr>
            </w:pPr>
            <w:r w:rsidRPr="00592E24">
              <w:rPr>
                <w:sz w:val="20"/>
              </w:rPr>
              <w:t>Health record (e.g. discharge summary)</w:t>
            </w:r>
          </w:p>
        </w:tc>
        <w:tc>
          <w:tcPr>
            <w:tcW w:w="1559" w:type="dxa"/>
          </w:tcPr>
          <w:p w:rsidR="00F80D99" w:rsidRPr="00592E24" w:rsidRDefault="00F80D99" w:rsidP="00592E24">
            <w:pPr>
              <w:ind w:left="0"/>
              <w:rPr>
                <w:sz w:val="20"/>
              </w:rPr>
            </w:pPr>
            <w:r w:rsidRPr="00592E24">
              <w:rPr>
                <w:sz w:val="20"/>
              </w:rPr>
              <w:t>MyGov</w:t>
            </w:r>
          </w:p>
        </w:tc>
        <w:tc>
          <w:tcPr>
            <w:tcW w:w="1486" w:type="dxa"/>
          </w:tcPr>
          <w:p w:rsidR="00F80D99" w:rsidRPr="00592E24" w:rsidRDefault="00F80D99" w:rsidP="00592E24">
            <w:pPr>
              <w:ind w:left="0"/>
              <w:rPr>
                <w:sz w:val="20"/>
              </w:rPr>
            </w:pPr>
            <w:r w:rsidRPr="00592E24">
              <w:rPr>
                <w:sz w:val="20"/>
              </w:rPr>
              <w:t>Queensland Health</w:t>
            </w:r>
          </w:p>
        </w:tc>
        <w:tc>
          <w:tcPr>
            <w:tcW w:w="1428" w:type="dxa"/>
          </w:tcPr>
          <w:p w:rsidR="00F80D99" w:rsidRPr="00592E24" w:rsidRDefault="00F80D99" w:rsidP="00592E24">
            <w:pPr>
              <w:ind w:left="0"/>
              <w:rPr>
                <w:sz w:val="20"/>
              </w:rPr>
            </w:pPr>
            <w:r w:rsidRPr="00592E24">
              <w:rPr>
                <w:sz w:val="20"/>
              </w:rPr>
              <w:t>Integrated electronic medical records (IEMR)</w:t>
            </w:r>
          </w:p>
        </w:tc>
        <w:tc>
          <w:tcPr>
            <w:tcW w:w="1305" w:type="dxa"/>
          </w:tcPr>
          <w:p w:rsidR="00F80D99" w:rsidRPr="00592E24" w:rsidRDefault="00F80D99" w:rsidP="00592E24">
            <w:pPr>
              <w:ind w:left="0"/>
              <w:rPr>
                <w:sz w:val="20"/>
              </w:rPr>
            </w:pPr>
            <w:r w:rsidRPr="00592E24">
              <w:rPr>
                <w:sz w:val="20"/>
              </w:rPr>
              <w:t>Queensland Health or individual clinician</w:t>
            </w:r>
          </w:p>
        </w:tc>
      </w:tr>
      <w:tr w:rsidR="00F80D99" w:rsidRPr="00592E24" w:rsidTr="00592E24">
        <w:tc>
          <w:tcPr>
            <w:tcW w:w="9606" w:type="dxa"/>
            <w:gridSpan w:val="7"/>
          </w:tcPr>
          <w:p w:rsidR="00F80D99" w:rsidRPr="00592E24" w:rsidRDefault="00F80D99" w:rsidP="00592E24">
            <w:pPr>
              <w:ind w:left="0"/>
              <w:rPr>
                <w:sz w:val="20"/>
              </w:rPr>
            </w:pPr>
            <w:r w:rsidRPr="00592E24">
              <w:rPr>
                <w:b/>
                <w:sz w:val="20"/>
              </w:rPr>
              <w:lastRenderedPageBreak/>
              <w:t>Use case</w:t>
            </w:r>
            <w:r w:rsidRPr="00592E24">
              <w:rPr>
                <w:sz w:val="20"/>
              </w:rPr>
              <w:t>: A job seeker shares their Record of Achievement with a potential employer</w:t>
            </w:r>
          </w:p>
        </w:tc>
      </w:tr>
      <w:tr w:rsidR="00592E24" w:rsidRPr="00592E24" w:rsidTr="00592E24">
        <w:tc>
          <w:tcPr>
            <w:tcW w:w="1128" w:type="dxa"/>
          </w:tcPr>
          <w:p w:rsidR="00F80D99" w:rsidRPr="00592E24" w:rsidRDefault="00F80D99" w:rsidP="00592E24">
            <w:pPr>
              <w:ind w:left="0"/>
              <w:rPr>
                <w:sz w:val="20"/>
              </w:rPr>
            </w:pPr>
            <w:r w:rsidRPr="00592E24">
              <w:rPr>
                <w:sz w:val="20"/>
              </w:rPr>
              <w:t>Student</w:t>
            </w:r>
          </w:p>
        </w:tc>
        <w:tc>
          <w:tcPr>
            <w:tcW w:w="1456" w:type="dxa"/>
          </w:tcPr>
          <w:p w:rsidR="00F80D99" w:rsidRPr="00592E24" w:rsidRDefault="00F80D99" w:rsidP="00592E24">
            <w:pPr>
              <w:ind w:left="6"/>
              <w:rPr>
                <w:sz w:val="20"/>
              </w:rPr>
            </w:pPr>
            <w:r w:rsidRPr="00592E24">
              <w:rPr>
                <w:sz w:val="20"/>
              </w:rPr>
              <w:t>Education</w:t>
            </w:r>
          </w:p>
          <w:p w:rsidR="00F80D99" w:rsidRPr="00592E24" w:rsidRDefault="00F80D99" w:rsidP="00592E24">
            <w:pPr>
              <w:ind w:left="6"/>
              <w:rPr>
                <w:sz w:val="20"/>
              </w:rPr>
            </w:pPr>
            <w:r w:rsidRPr="00592E24">
              <w:rPr>
                <w:sz w:val="20"/>
              </w:rPr>
              <w:t>Queensland</w:t>
            </w:r>
          </w:p>
        </w:tc>
        <w:tc>
          <w:tcPr>
            <w:tcW w:w="1244" w:type="dxa"/>
          </w:tcPr>
          <w:p w:rsidR="00F80D99" w:rsidRPr="00592E24" w:rsidRDefault="00F80D99" w:rsidP="00592E24">
            <w:pPr>
              <w:ind w:left="6"/>
              <w:rPr>
                <w:sz w:val="20"/>
              </w:rPr>
            </w:pPr>
            <w:r w:rsidRPr="00592E24">
              <w:rPr>
                <w:sz w:val="20"/>
              </w:rPr>
              <w:t>Record of achievement</w:t>
            </w:r>
          </w:p>
        </w:tc>
        <w:tc>
          <w:tcPr>
            <w:tcW w:w="1559" w:type="dxa"/>
          </w:tcPr>
          <w:p w:rsidR="00F80D99" w:rsidRPr="00592E24" w:rsidRDefault="00F80D99" w:rsidP="00592E24">
            <w:pPr>
              <w:ind w:left="0"/>
              <w:rPr>
                <w:sz w:val="20"/>
              </w:rPr>
            </w:pPr>
            <w:r w:rsidRPr="00592E24">
              <w:rPr>
                <w:sz w:val="20"/>
              </w:rPr>
              <w:t>Queensland ‘My Account’ service</w:t>
            </w:r>
          </w:p>
        </w:tc>
        <w:tc>
          <w:tcPr>
            <w:tcW w:w="1486" w:type="dxa"/>
          </w:tcPr>
          <w:p w:rsidR="00F80D99" w:rsidRPr="00592E24" w:rsidRDefault="00F80D99" w:rsidP="00592E24">
            <w:pPr>
              <w:ind w:left="0"/>
              <w:rPr>
                <w:sz w:val="20"/>
              </w:rPr>
            </w:pPr>
            <w:r w:rsidRPr="00592E24">
              <w:rPr>
                <w:sz w:val="20"/>
              </w:rPr>
              <w:t>Potential employer</w:t>
            </w:r>
          </w:p>
        </w:tc>
        <w:tc>
          <w:tcPr>
            <w:tcW w:w="1428" w:type="dxa"/>
          </w:tcPr>
          <w:p w:rsidR="00F80D99" w:rsidRPr="00592E24" w:rsidRDefault="00F80D99" w:rsidP="00592E24">
            <w:pPr>
              <w:ind w:left="0"/>
              <w:rPr>
                <w:sz w:val="20"/>
              </w:rPr>
            </w:pPr>
            <w:r w:rsidRPr="00592E24">
              <w:rPr>
                <w:sz w:val="20"/>
              </w:rPr>
              <w:t>OnlineRecruit SaaS</w:t>
            </w:r>
          </w:p>
        </w:tc>
        <w:tc>
          <w:tcPr>
            <w:tcW w:w="1305" w:type="dxa"/>
          </w:tcPr>
          <w:p w:rsidR="00F80D99" w:rsidRPr="00592E24" w:rsidRDefault="00F80D99" w:rsidP="00592E24">
            <w:pPr>
              <w:ind w:left="0"/>
              <w:rPr>
                <w:sz w:val="20"/>
              </w:rPr>
            </w:pPr>
            <w:r w:rsidRPr="00592E24">
              <w:rPr>
                <w:sz w:val="20"/>
              </w:rPr>
              <w:t>HR Manager</w:t>
            </w:r>
          </w:p>
        </w:tc>
      </w:tr>
    </w:tbl>
    <w:p w:rsidR="00F80D99" w:rsidRPr="00376BBF" w:rsidRDefault="00F80D99" w:rsidP="00592E24">
      <w:pPr>
        <w:pStyle w:val="Heading4"/>
      </w:pPr>
      <w:r w:rsidRPr="00376BBF">
        <w:t>Process flows</w:t>
      </w:r>
    </w:p>
    <w:p w:rsidR="00F80D99" w:rsidRPr="00376BBF" w:rsidRDefault="00F80D99" w:rsidP="00F80D99">
      <w:r w:rsidRPr="00376BBF">
        <w:t>The UMA process is broken into two parts – the initial setup of a user selecting a central authorisation manager and linking resources they own to be able to establish pre-defined access rules, and the subsequent process flows for requesting parties to obtain authorisation.</w:t>
      </w:r>
    </w:p>
    <w:p w:rsidR="00F80D99" w:rsidRPr="00376BBF" w:rsidRDefault="00F80D99" w:rsidP="00592E24">
      <w:pPr>
        <w:pStyle w:val="Heading4"/>
      </w:pPr>
      <w:r w:rsidRPr="00376BBF">
        <w:t>Protect a resource</w:t>
      </w:r>
    </w:p>
    <w:p w:rsidR="00F80D99" w:rsidRPr="00376BBF" w:rsidRDefault="00F80D99" w:rsidP="00592E24">
      <w:pPr>
        <w:pStyle w:val="Bullet1"/>
      </w:pPr>
      <w:r w:rsidRPr="00376BBF">
        <w:t>The resource owner of resources at resource server, introduces it to the authorisation server so that later it can protect access to the resource.</w:t>
      </w:r>
    </w:p>
    <w:p w:rsidR="00F80D99" w:rsidRPr="00376BBF" w:rsidRDefault="00F80D99" w:rsidP="00592E24">
      <w:pPr>
        <w:pStyle w:val="Bullet1"/>
      </w:pPr>
      <w:r w:rsidRPr="00376BBF">
        <w:t>The resource owner configures the authorisation server with access policies associated with the resource.</w:t>
      </w:r>
    </w:p>
    <w:p w:rsidR="00F80D99" w:rsidRPr="00376BBF" w:rsidRDefault="00F80D99" w:rsidP="00592E24">
      <w:pPr>
        <w:pStyle w:val="Heading4"/>
      </w:pPr>
      <w:r w:rsidRPr="00376BBF">
        <w:t>Obtain authorisation</w:t>
      </w:r>
    </w:p>
    <w:p w:rsidR="00F80D99" w:rsidRPr="00376BBF" w:rsidRDefault="00F80D99" w:rsidP="00592E24">
      <w:pPr>
        <w:pStyle w:val="Bullet1"/>
      </w:pPr>
      <w:r w:rsidRPr="00376BBF">
        <w:t xml:space="preserve">An application client attempts to access to a protected resource on behalf of its requesting party </w:t>
      </w:r>
    </w:p>
    <w:p w:rsidR="00F80D99" w:rsidRPr="00376BBF" w:rsidRDefault="00F80D99" w:rsidP="00592E24">
      <w:pPr>
        <w:pStyle w:val="Bullet1"/>
      </w:pPr>
      <w:r w:rsidRPr="00376BBF">
        <w:t>The requesting party may need to be authenticated (undergo a process of trust elevation, for example, supply identity claims)</w:t>
      </w:r>
    </w:p>
    <w:p w:rsidR="00F80D99" w:rsidRPr="00376BBF" w:rsidRDefault="00F80D99" w:rsidP="00592E24">
      <w:pPr>
        <w:pStyle w:val="Bullet1"/>
      </w:pPr>
      <w:r w:rsidRPr="00376BBF">
        <w:t>If approved, the authorisation server provides the application client with an access token</w:t>
      </w:r>
    </w:p>
    <w:p w:rsidR="00F80D99" w:rsidRPr="00376BBF" w:rsidRDefault="00F80D99" w:rsidP="00592E24">
      <w:pPr>
        <w:pStyle w:val="Bullet1"/>
      </w:pPr>
      <w:r w:rsidRPr="00376BBF">
        <w:t>The third party application client presents the access token when making requests to the protected resource.</w:t>
      </w:r>
    </w:p>
    <w:p w:rsidR="00F80D99" w:rsidRPr="00376BBF" w:rsidRDefault="00F80D99" w:rsidP="00F80D99">
      <w:r w:rsidRPr="00376BBF">
        <w:t xml:space="preserve">The New Zealand office of the Government Chief Information Officer ran a Proof of Concept (POC) project to test the concept of a common delegation’s capability for government using the UMA protocol. </w:t>
      </w:r>
    </w:p>
    <w:p w:rsidR="00F80D99" w:rsidRPr="00376BBF" w:rsidRDefault="00F80D99" w:rsidP="00F80D99">
      <w:r w:rsidRPr="00376BBF">
        <w:t>The main scenarios tested included:</w:t>
      </w:r>
    </w:p>
    <w:p w:rsidR="00F80D99" w:rsidRPr="00376BBF" w:rsidRDefault="00F80D99" w:rsidP="00592E24">
      <w:pPr>
        <w:pStyle w:val="Bullet1"/>
      </w:pPr>
      <w:r w:rsidRPr="00376BBF">
        <w:t>immigration: someone overseas wants help to immigrate to New Zealand</w:t>
      </w:r>
    </w:p>
    <w:p w:rsidR="00F80D99" w:rsidRPr="00376BBF" w:rsidRDefault="00F80D99" w:rsidP="00592E24">
      <w:pPr>
        <w:pStyle w:val="Bullet1"/>
      </w:pPr>
      <w:r w:rsidRPr="00376BBF">
        <w:t>health: a patient asks their family member to help them do things on their patient portal</w:t>
      </w:r>
    </w:p>
    <w:p w:rsidR="00F80D99" w:rsidRPr="00376BBF" w:rsidRDefault="00F80D99" w:rsidP="00592E24">
      <w:pPr>
        <w:pStyle w:val="Bullet1"/>
      </w:pPr>
      <w:r w:rsidRPr="00376BBF">
        <w:t>education (careers): a job seeker shares their record of achievement with a potential employer</w:t>
      </w:r>
    </w:p>
    <w:p w:rsidR="00F80D99" w:rsidRPr="00376BBF" w:rsidRDefault="00F80D99" w:rsidP="00592E24">
      <w:pPr>
        <w:pStyle w:val="Bullet1"/>
      </w:pPr>
      <w:r w:rsidRPr="00376BBF">
        <w:t>education (early child): in the future parents can delegate after school pick up for their children.</w:t>
      </w:r>
    </w:p>
    <w:p w:rsidR="00F80D99" w:rsidRPr="00376BBF" w:rsidRDefault="00F80D99" w:rsidP="00F80D99">
      <w:r w:rsidRPr="00376BBF">
        <w:t>The PoC found that UMA is a valuable tool when attempting to allow a member of the public to manage ‘delegations’ or access control, however there were many caveats</w:t>
      </w:r>
      <w:r w:rsidRPr="00376BBF">
        <w:endnoteReference w:id="3"/>
      </w:r>
      <w:r w:rsidRPr="00376BBF">
        <w:t>:</w:t>
      </w:r>
    </w:p>
    <w:p w:rsidR="00F80D99" w:rsidRPr="00376BBF" w:rsidRDefault="00F80D99" w:rsidP="00592E24">
      <w:pPr>
        <w:pStyle w:val="Bullet1"/>
      </w:pPr>
      <w:r w:rsidRPr="00376BBF">
        <w:t>UMA does not manage relationships in general. A well-structured approach, above and beyond UMA will be required to manage complex or abstract delegations and relationships.</w:t>
      </w:r>
    </w:p>
    <w:p w:rsidR="00F80D99" w:rsidRPr="00376BBF" w:rsidRDefault="00F80D99" w:rsidP="00592E24">
      <w:pPr>
        <w:pStyle w:val="Bullet1"/>
      </w:pPr>
      <w:r w:rsidRPr="00376BBF">
        <w:t>Agencies consuming a common delegation capability service are almost certain to need access control systems in addition to what is provided by a common delegation service.</w:t>
      </w:r>
    </w:p>
    <w:p w:rsidR="00F80D99" w:rsidRPr="00376BBF" w:rsidRDefault="00F80D99" w:rsidP="00592E24">
      <w:pPr>
        <w:pStyle w:val="Bullet1"/>
      </w:pPr>
      <w:r w:rsidRPr="00376BBF">
        <w:t xml:space="preserve">Parties wishing to create a suite of delegations across several government agencies in a single act would need a bespoke solution to do so. The standard UMA model would only facilitate a user setting up delegations independently at each agency. </w:t>
      </w:r>
    </w:p>
    <w:p w:rsidR="00F80D99" w:rsidRPr="00376BBF" w:rsidRDefault="00F80D99" w:rsidP="00592E24">
      <w:pPr>
        <w:pStyle w:val="Bullet1"/>
      </w:pPr>
      <w:r w:rsidRPr="00376BBF">
        <w:lastRenderedPageBreak/>
        <w:t>Prior to implementing a common delegation capability, the numerous policy questions must be resolved.</w:t>
      </w:r>
    </w:p>
    <w:p w:rsidR="00F80D99" w:rsidRPr="00376BBF" w:rsidRDefault="00F80D99" w:rsidP="00592E24">
      <w:pPr>
        <w:pStyle w:val="Heading4"/>
      </w:pPr>
      <w:r w:rsidRPr="00376BBF">
        <w:t>Central delegated authorisation across resources – enterprise controlled (XACML Protocol)</w:t>
      </w:r>
    </w:p>
    <w:p w:rsidR="00F80D99" w:rsidRPr="00376BBF" w:rsidRDefault="00F80D99" w:rsidP="00F80D99">
      <w:r w:rsidRPr="00376BBF">
        <w:t>A centralised authorisation model allows an enterprise authority (or delegated policy authorities) to define access control policies that are applied consistently across federated multiple resources (applications, data and content) in different security domains. These resources delegate authorisation decisions and logic to a central authority and policy (although this may be distributed from a deployment perspective).</w:t>
      </w:r>
    </w:p>
    <w:p w:rsidR="00F80D99" w:rsidRPr="00376BBF" w:rsidRDefault="00F80D99" w:rsidP="00F80D99">
      <w:r w:rsidRPr="00376BBF">
        <w:t xml:space="preserve">Access policies are written in business terms based upon attributes which allow for precise granular and real-time access control based upon a number of discrete inputs based on user information using external attributes (subject attributes, resource attributes, and other contextual information). For examples of each type of attribute, refer </w:t>
      </w:r>
      <w:hyperlink w:anchor="_Information_and_entity" w:history="1">
        <w:r w:rsidRPr="00376BBF">
          <w:rPr>
            <w:rStyle w:val="Hyperlink"/>
          </w:rPr>
          <w:t>Information models</w:t>
        </w:r>
      </w:hyperlink>
      <w:r w:rsidRPr="00376BBF">
        <w:t>.</w:t>
      </w:r>
    </w:p>
    <w:p w:rsidR="00F80D99" w:rsidRPr="00376BBF" w:rsidRDefault="00F80D99" w:rsidP="00F80D99">
      <w:r w:rsidRPr="00376BBF">
        <w:t>Attributes can reside in multiple sources where the level of confidence an RP has in an attribute may vary. The critical components of an ABAC solution are the governing organisational policies, attribute syntax and semantics and authoritative sources. The policies define the business objectives and the authoritative sources provide critical attribute verification, but syntactic and semantic agreement between the information exchange endpoints is the linchpin of attribute sharing</w:t>
      </w:r>
      <w:r w:rsidRPr="00376BBF">
        <w:endnoteReference w:id="4"/>
      </w:r>
      <w:r w:rsidRPr="00376BBF">
        <w:t xml:space="preserve">. </w:t>
      </w:r>
    </w:p>
    <w:p w:rsidR="00F80D99" w:rsidRPr="00376BBF" w:rsidRDefault="00F80D99" w:rsidP="00F80D99">
      <w:r w:rsidRPr="00376BBF">
        <w:t>In December 2011, the US Government issued a directive recommending ABAC as the preferred access control model for enabling information sharing between diverse and disparate organisations</w:t>
      </w:r>
      <w:r w:rsidRPr="00376BBF">
        <w:endnoteReference w:id="5"/>
      </w:r>
      <w:r w:rsidRPr="00376BBF">
        <w:t xml:space="preserve">. </w:t>
      </w:r>
    </w:p>
    <w:p w:rsidR="00F80D99" w:rsidRPr="00376BBF" w:rsidRDefault="00F80D99" w:rsidP="00F80D99">
      <w:r w:rsidRPr="00376BBF">
        <w:t>This same model for federated authorisation may be deployed in an enterprise context to better manage complex security policies for multiple subjects (employees, contractors, partners, and customers). With ABAC, when a new subject joins the organisation, existing rules and objects do not need to be modified to grant access as long as the subject is assigned the attributes necessary for the access required. This is one of the primary benefits employing ABAC when accommodating the external federated users.</w:t>
      </w:r>
    </w:p>
    <w:p w:rsidR="00F80D99" w:rsidRPr="00376BBF" w:rsidRDefault="00F80D99" w:rsidP="00F80D99">
      <w:r w:rsidRPr="00376BBF">
        <w:t>The diagram on page 12 depicts the five common roles of an ABAC architecture:</w:t>
      </w:r>
    </w:p>
    <w:p w:rsidR="00F80D99" w:rsidRPr="00376BBF" w:rsidRDefault="00F80D99" w:rsidP="00592E24">
      <w:pPr>
        <w:pStyle w:val="Bullet1"/>
      </w:pPr>
      <w:r w:rsidRPr="00376BBF">
        <w:t>enforce – policy enforcement point (PEP)</w:t>
      </w:r>
    </w:p>
    <w:p w:rsidR="00F80D99" w:rsidRPr="00376BBF" w:rsidRDefault="00F80D99" w:rsidP="00592E24">
      <w:pPr>
        <w:pStyle w:val="Bullet1"/>
      </w:pPr>
      <w:r w:rsidRPr="00376BBF">
        <w:t>decide – policy decision point (PDP)</w:t>
      </w:r>
    </w:p>
    <w:p w:rsidR="00F80D99" w:rsidRPr="00376BBF" w:rsidRDefault="00F80D99" w:rsidP="00592E24">
      <w:pPr>
        <w:pStyle w:val="Bullet1"/>
      </w:pPr>
      <w:r w:rsidRPr="00376BBF">
        <w:t>support – policy information point (PIP) and policy retrieval point (PRP)</w:t>
      </w:r>
    </w:p>
    <w:p w:rsidR="00F80D99" w:rsidRPr="00376BBF" w:rsidRDefault="00F80D99" w:rsidP="00592E24">
      <w:pPr>
        <w:pStyle w:val="Bullet1"/>
      </w:pPr>
      <w:r w:rsidRPr="00376BBF">
        <w:t>manage – policy administration point (PAP)</w:t>
      </w:r>
    </w:p>
    <w:p w:rsidR="00F80D99" w:rsidRPr="00376BBF" w:rsidRDefault="00F80D99" w:rsidP="00F80D99">
      <w:r w:rsidRPr="00376BBF">
        <w:t>The roles may be fully collapsed or distributed. The grey dashed boundaries represent an example deployment only.</w:t>
      </w:r>
    </w:p>
    <w:p w:rsidR="00F80D99" w:rsidRPr="00376BBF" w:rsidRDefault="00F80D99" w:rsidP="00F80D99">
      <w:r w:rsidRPr="00376BBF">
        <w:object w:dxaOrig="12404" w:dyaOrig="7630">
          <v:shape id="_x0000_i1029" type="#_x0000_t75" style="width:483pt;height:295.5pt" o:ole="">
            <v:imagedata r:id="rId25" o:title=""/>
          </v:shape>
          <o:OLEObject Type="Embed" ProgID="Visio.Drawing.15" ShapeID="_x0000_i1029" DrawAspect="Content" ObjectID="_1558173633" r:id="rId26"/>
        </w:object>
      </w:r>
    </w:p>
    <w:p w:rsidR="00F80D99" w:rsidRPr="00376BBF" w:rsidRDefault="00F80D99" w:rsidP="00592E24">
      <w:pPr>
        <w:pStyle w:val="Heading2"/>
      </w:pPr>
      <w:bookmarkStart w:id="8" w:name="_Toc464555217"/>
      <w:bookmarkStart w:id="9" w:name="_Toc464638258"/>
      <w:bookmarkStart w:id="10" w:name="_Toc468260904"/>
      <w:bookmarkStart w:id="11" w:name="_Toc484431688"/>
      <w:r w:rsidRPr="00376BBF">
        <w:t>Federated attribute exchange</w:t>
      </w:r>
      <w:bookmarkEnd w:id="8"/>
      <w:bookmarkEnd w:id="9"/>
      <w:bookmarkEnd w:id="10"/>
      <w:bookmarkEnd w:id="11"/>
    </w:p>
    <w:p w:rsidR="00F80D99" w:rsidRPr="00376BBF" w:rsidRDefault="00F80D99" w:rsidP="00F80D99">
      <w:r w:rsidRPr="00376BBF">
        <w:t>The diagram below depicts a typical model for sharing and/or validation of identity attribute information between parties from authoritative sources typically residing in another domain. Specifically:</w:t>
      </w:r>
    </w:p>
    <w:p w:rsidR="00F80D99" w:rsidRPr="00376BBF" w:rsidRDefault="00F80D99" w:rsidP="00592E24">
      <w:pPr>
        <w:pStyle w:val="Bullet1"/>
      </w:pPr>
      <w:r w:rsidRPr="00376BBF">
        <w:t>sharing identity attribute information to provide access to attributes held by one entity that are needed by another</w:t>
      </w:r>
    </w:p>
    <w:p w:rsidR="00F80D99" w:rsidRPr="00376BBF" w:rsidRDefault="00F80D99" w:rsidP="00592E24">
      <w:pPr>
        <w:pStyle w:val="Bullet1"/>
      </w:pPr>
      <w:r w:rsidRPr="00376BBF">
        <w:t>validation of identity attribute information against authoritative sources – typically for identity proofing or authorisation access control.</w:t>
      </w:r>
    </w:p>
    <w:p w:rsidR="00F80D99" w:rsidRPr="00376BBF" w:rsidRDefault="00F80D99" w:rsidP="00F80D99"/>
    <w:p w:rsidR="00F80D99" w:rsidRPr="00376BBF" w:rsidRDefault="00F80D99" w:rsidP="00F80D99">
      <w:r w:rsidRPr="00376BBF">
        <w:object w:dxaOrig="11282" w:dyaOrig="4914">
          <v:shape id="_x0000_i1030" type="#_x0000_t75" style="width:422.5pt;height:184pt" o:ole="">
            <v:imagedata r:id="rId27" o:title=""/>
          </v:shape>
          <o:OLEObject Type="Embed" ProgID="Visio.Drawing.15" ShapeID="_x0000_i1030" DrawAspect="Content" ObjectID="_1558173634" r:id="rId28"/>
        </w:object>
      </w:r>
    </w:p>
    <w:p w:rsidR="00F80D99" w:rsidRPr="00376BBF" w:rsidRDefault="00F80D99" w:rsidP="00592E24">
      <w:pPr>
        <w:pStyle w:val="Heading3"/>
      </w:pPr>
      <w:r w:rsidRPr="00376BBF">
        <w:t xml:space="preserve">Attribute providers </w:t>
      </w:r>
    </w:p>
    <w:p w:rsidR="00F80D99" w:rsidRPr="00376BBF" w:rsidRDefault="00F80D99" w:rsidP="00F80D99">
      <w:r w:rsidRPr="00376BBF">
        <w:t xml:space="preserve">An attribute provider is responsible for the processes associated with establishing and maintaining identity attributes. Attribute maintenance includes validating, updating, and </w:t>
      </w:r>
      <w:r w:rsidRPr="00376BBF">
        <w:lastRenderedPageBreak/>
        <w:t>revoking attribute claims. An attribute provider asserts trusted, validated attribute claims in response to attribute requests</w:t>
      </w:r>
      <w:r w:rsidRPr="00376BBF">
        <w:endnoteReference w:id="6"/>
      </w:r>
      <w:r w:rsidRPr="00376BBF">
        <w:t>.</w:t>
      </w:r>
    </w:p>
    <w:p w:rsidR="00F80D99" w:rsidRPr="00376BBF" w:rsidRDefault="00F80D99" w:rsidP="00F80D99">
      <w:r w:rsidRPr="00376BBF">
        <w:t>An IdP can be considered an attribute provider for the identities it manages.</w:t>
      </w:r>
    </w:p>
    <w:p w:rsidR="00F80D99" w:rsidRPr="00376BBF" w:rsidRDefault="00F80D99" w:rsidP="00592E24">
      <w:pPr>
        <w:pStyle w:val="Heading3"/>
      </w:pPr>
      <w:r w:rsidRPr="00376BBF">
        <w:t xml:space="preserve">Attribute consumers </w:t>
      </w:r>
    </w:p>
    <w:p w:rsidR="00F80D99" w:rsidRPr="00376BBF" w:rsidRDefault="00F80D99" w:rsidP="00F80D99">
      <w:r w:rsidRPr="00376BBF">
        <w:t>An IdP will commonly use an attribute provider to:</w:t>
      </w:r>
    </w:p>
    <w:p w:rsidR="00F80D99" w:rsidRPr="00376BBF" w:rsidRDefault="00F80D99" w:rsidP="00592E24">
      <w:pPr>
        <w:pStyle w:val="Bullet1"/>
      </w:pPr>
      <w:r w:rsidRPr="00376BBF">
        <w:t>validate self-asserted attribute claims from an authoritative source as part of identity proofing processes</w:t>
      </w:r>
    </w:p>
    <w:p w:rsidR="00F80D99" w:rsidRPr="00376BBF" w:rsidRDefault="00F80D99" w:rsidP="00592E24">
      <w:pPr>
        <w:pStyle w:val="Bullet1"/>
      </w:pPr>
      <w:r w:rsidRPr="00376BBF">
        <w:t>retrieve attributes for an authoritative source to support:</w:t>
      </w:r>
    </w:p>
    <w:p w:rsidR="00F80D99" w:rsidRPr="00376BBF" w:rsidRDefault="00F80D99" w:rsidP="00592E24">
      <w:pPr>
        <w:pStyle w:val="Bullet2"/>
      </w:pPr>
      <w:r w:rsidRPr="00376BBF">
        <w:t>access control entitlement decisions (typically course-grained)</w:t>
      </w:r>
    </w:p>
    <w:p w:rsidR="00F80D99" w:rsidRPr="00376BBF" w:rsidRDefault="00F80D99" w:rsidP="00592E24">
      <w:pPr>
        <w:pStyle w:val="Bullet2"/>
      </w:pPr>
      <w:r w:rsidRPr="00376BBF">
        <w:t>obtain other identifiers (e.g. a payroll number from the payroll system)</w:t>
      </w:r>
    </w:p>
    <w:p w:rsidR="00F80D99" w:rsidRPr="00376BBF" w:rsidRDefault="00F80D99" w:rsidP="00592E24">
      <w:pPr>
        <w:pStyle w:val="Bullet2"/>
      </w:pPr>
      <w:r w:rsidRPr="00376BBF">
        <w:t xml:space="preserve">enrich the identity profile to fulfil RP attribute contract requirements </w:t>
      </w:r>
    </w:p>
    <w:p w:rsidR="00F80D99" w:rsidRPr="00376BBF" w:rsidRDefault="00F80D99" w:rsidP="00F80D99">
      <w:r w:rsidRPr="00376BBF">
        <w:t>An RP will commonly use an attribute provider to retrieve or validate additional subject attributes to support:</w:t>
      </w:r>
    </w:p>
    <w:p w:rsidR="00F80D99" w:rsidRPr="00376BBF" w:rsidRDefault="00F80D99" w:rsidP="00592E24">
      <w:pPr>
        <w:pStyle w:val="Bullet1"/>
      </w:pPr>
      <w:r w:rsidRPr="00376BBF">
        <w:t>access control entitlement decisions (ABAC)</w:t>
      </w:r>
    </w:p>
    <w:p w:rsidR="00F80D99" w:rsidRPr="00376BBF" w:rsidRDefault="00F80D99" w:rsidP="00592E24">
      <w:pPr>
        <w:pStyle w:val="Bullet1"/>
      </w:pPr>
      <w:r w:rsidRPr="00376BBF">
        <w:t>service personalisation</w:t>
      </w:r>
    </w:p>
    <w:p w:rsidR="00F80D99" w:rsidRPr="00376BBF" w:rsidRDefault="00F80D99" w:rsidP="00592E24">
      <w:pPr>
        <w:pStyle w:val="Bullet1"/>
      </w:pPr>
      <w:r w:rsidRPr="00376BBF">
        <w:t>identity provisioning requirements.</w:t>
      </w:r>
    </w:p>
    <w:p w:rsidR="00F80D99" w:rsidRPr="00376BBF" w:rsidRDefault="00F80D99" w:rsidP="00592E24">
      <w:pPr>
        <w:pStyle w:val="Heading3"/>
      </w:pPr>
      <w:r w:rsidRPr="00376BBF">
        <w:t xml:space="preserve">Attribute brokers </w:t>
      </w:r>
    </w:p>
    <w:p w:rsidR="00F80D99" w:rsidRPr="00376BBF" w:rsidRDefault="00F80D99" w:rsidP="00F80D99">
      <w:r w:rsidRPr="00376BBF">
        <w:t>An attribute consumer may choose to leverage an attribute broker which can act a ‘hub of attributes’ by aggregating data from the various sources. By aggregating and correlating identity data, attributes can be found in one central location which improves consistency and provides a single source. An attribute broker is commonly required when one or more authoritative sources of attributes for a subject exist in multiple domains.</w:t>
      </w:r>
    </w:p>
    <w:p w:rsidR="00F80D99" w:rsidRPr="00376BBF" w:rsidRDefault="00F80D99" w:rsidP="00F80D99">
      <w:r w:rsidRPr="00376BBF">
        <w:t xml:space="preserve">The attribute broker can reside: </w:t>
      </w:r>
    </w:p>
    <w:p w:rsidR="00F80D99" w:rsidRPr="00376BBF" w:rsidRDefault="00F80D99" w:rsidP="00592E24">
      <w:pPr>
        <w:pStyle w:val="Bullet1"/>
      </w:pPr>
      <w:r w:rsidRPr="00376BBF">
        <w:t xml:space="preserve">in the local trust domain </w:t>
      </w:r>
    </w:p>
    <w:p w:rsidR="00F80D99" w:rsidRPr="00376BBF" w:rsidRDefault="00F80D99" w:rsidP="00592E24">
      <w:pPr>
        <w:pStyle w:val="Bullet1"/>
      </w:pPr>
      <w:r w:rsidRPr="00376BBF">
        <w:t xml:space="preserve">outside the local trust domain (e.g. the IdP) </w:t>
      </w:r>
    </w:p>
    <w:p w:rsidR="00F80D99" w:rsidRPr="00376BBF" w:rsidRDefault="00F80D99" w:rsidP="00592E24">
      <w:pPr>
        <w:pStyle w:val="Bullet1"/>
      </w:pPr>
      <w:r w:rsidRPr="00376BBF">
        <w:t>in a mutual trust domain e.g. an intermediary.</w:t>
      </w:r>
    </w:p>
    <w:p w:rsidR="00F80D99" w:rsidRPr="00376BBF" w:rsidRDefault="00F80D99" w:rsidP="00F80D99">
      <w:r w:rsidRPr="00376BBF">
        <w:t>An attribute broker is also capable of extending the schema for an identity with additional attributes for not included in any one authoritative source schema. The broker is designed to correlate identity attributes from the various authoritative data sources to provide a single authoritative source. The broker may also maintain different view for different consumers based upon authorisation to protect sensitive data (attributes).</w:t>
      </w:r>
    </w:p>
    <w:p w:rsidR="00F80D99" w:rsidRPr="00376BBF" w:rsidRDefault="00F80D99" w:rsidP="00F80D99">
      <w:r w:rsidRPr="00376BBF">
        <w:t>The attribute broker must handle a number of complex scenarios regarding the following four situation. This material has been sourced from the US Government Federal Identity, Credential and Access Management (FICAM) Implementation Guidance Roadmap</w:t>
      </w:r>
      <w:r w:rsidRPr="00376BBF">
        <w:endnoteReference w:id="7"/>
      </w:r>
      <w:r w:rsidRPr="00376BBF">
        <w:t>.</w:t>
      </w:r>
    </w:p>
    <w:p w:rsidR="00F80D99" w:rsidRPr="00376BBF" w:rsidRDefault="00F80D99" w:rsidP="00F80D99">
      <w:r w:rsidRPr="00592E24">
        <w:rPr>
          <w:b/>
        </w:rPr>
        <w:t>Defining identities</w:t>
      </w:r>
      <w:r w:rsidRPr="00376BBF">
        <w:t>. The Authoritative Attribute manager uses built-in queries to aggregate identity attributes from different sources. In some cases, there may be multiple sources for digital identity data. When this occurs, the Attribute Manager should be capable of determining which source is the authoritative and be used to define the enterprise digital identity. For example, if there are two different sources the following scenarios could be present:</w:t>
      </w:r>
    </w:p>
    <w:p w:rsidR="00F80D99" w:rsidRPr="00376BBF" w:rsidRDefault="00F80D99" w:rsidP="00592E24">
      <w:pPr>
        <w:pStyle w:val="Bullet1"/>
      </w:pPr>
      <w:r w:rsidRPr="00376BBF">
        <w:t>Identity exists in both sources and consists of mutually exclusive attributes;</w:t>
      </w:r>
    </w:p>
    <w:p w:rsidR="00F80D99" w:rsidRPr="00376BBF" w:rsidRDefault="00F80D99" w:rsidP="00592E24">
      <w:pPr>
        <w:pStyle w:val="Bullet1"/>
      </w:pPr>
      <w:r w:rsidRPr="00376BBF">
        <w:t xml:space="preserve">Identity exists in both sources and consists of overlapping attributes; or </w:t>
      </w:r>
    </w:p>
    <w:p w:rsidR="00F80D99" w:rsidRPr="00376BBF" w:rsidRDefault="00F80D99" w:rsidP="00592E24">
      <w:pPr>
        <w:pStyle w:val="Bullet1"/>
      </w:pPr>
      <w:r w:rsidRPr="00376BBF">
        <w:t>Identity exists in one source but not the other.</w:t>
      </w:r>
    </w:p>
    <w:p w:rsidR="00F80D99" w:rsidRPr="00376BBF" w:rsidRDefault="00F80D99" w:rsidP="00F80D99">
      <w:r w:rsidRPr="00592E24">
        <w:rPr>
          <w:b/>
        </w:rPr>
        <w:lastRenderedPageBreak/>
        <w:t>Correlation of identity attributes</w:t>
      </w:r>
      <w:r w:rsidRPr="00376BBF">
        <w:t>. Given the number of potential sources for identity attributes, an agency should determine a mechanism for correlating those attributes into a single digital identity within the Attribute Manager. That is, each individual needs to be uniquely identified and attributes of the same identity from different sources should be correlated to the same enterprise digital identity. As discussed in Section 7.1.3, attributes can be correlated using a unique person identifier or a combination of attributes (i.e., a multi-attribute key). If a reliable correlation key does not exist, a mechanism must be developed for accurately correlating identity information, perhaps involving human review of potentially conflicting records.</w:t>
      </w:r>
    </w:p>
    <w:p w:rsidR="00F80D99" w:rsidRPr="00376BBF" w:rsidRDefault="00F80D99" w:rsidP="00F80D99">
      <w:r w:rsidRPr="00592E24">
        <w:rPr>
          <w:b/>
        </w:rPr>
        <w:t>Normali</w:t>
      </w:r>
      <w:r w:rsidR="00592E24">
        <w:rPr>
          <w:b/>
        </w:rPr>
        <w:t>s</w:t>
      </w:r>
      <w:r w:rsidRPr="00592E24">
        <w:rPr>
          <w:b/>
        </w:rPr>
        <w:t>ation</w:t>
      </w:r>
      <w:r w:rsidRPr="00376BBF">
        <w:t>. Normalization creates a common and consistent taxonomy for attributes. It provides a mapping between different attribute types and values. For example, one bureau/component’s organisation attribute can be equivalent to another’s division attribute. Establishing a process for normalizing these attributes (e.g., data modelling) across an agency is critical to enabling effective attribute sharing.</w:t>
      </w:r>
    </w:p>
    <w:p w:rsidR="00F80D99" w:rsidRPr="00376BBF" w:rsidRDefault="00F80D99" w:rsidP="00F80D99">
      <w:r w:rsidRPr="00592E24">
        <w:rPr>
          <w:b/>
        </w:rPr>
        <w:t>Reconciliation of identity attributes</w:t>
      </w:r>
      <w:r w:rsidRPr="00376BBF">
        <w:t>. During the course of correlating attributes to an identity, there may be scenarios where different authoritative sources have a discrepancy regarding the same attribute of an identity, or where an attribute is missing completely. An agency may experience difficulty determining which attributes are correct if there are discrepancies with a single identity. In this case, a process must be put in place to correct the discrepancy and store the correct attribute in the Authoritative Attribute Manager. This will often require use of an offline process involving human review of the attributes. It must be determined how to fix the problem upstream. This can be achieved by either creating a data scanning utility to check for error conditions prior to populating the Authoritative Attribute Manager, or by building a process to notify the appropriate personnel to correct the source data manually.</w:t>
      </w:r>
    </w:p>
    <w:p w:rsidR="00F80D99" w:rsidRPr="00376BBF" w:rsidRDefault="00F80D99" w:rsidP="00592E24">
      <w:pPr>
        <w:pStyle w:val="Heading3"/>
      </w:pPr>
      <w:r w:rsidRPr="00376BBF">
        <w:t>Single or multiple attribute providers</w:t>
      </w:r>
    </w:p>
    <w:p w:rsidR="00F80D99" w:rsidRPr="00376BBF" w:rsidRDefault="00F80D99" w:rsidP="00F80D99">
      <w:r w:rsidRPr="00376BBF">
        <w:t>A single attribute provider may be used (most commonly an identity provider) as an authoritative source for pre-agreed attributes. Attributes for the same subject may also be sourced from multiple attribute providers consulted independently (e.g. credit bureaus)</w:t>
      </w:r>
      <w:r w:rsidRPr="00376BBF">
        <w:endnoteReference w:id="8"/>
      </w:r>
      <w:r w:rsidRPr="00376BBF">
        <w:t>. Multi-source attribute provider model is less common because of the added complexity, extended trust model required and the lack of a standards-based approach to multi-source attribute aggregation</w:t>
      </w:r>
      <w:r w:rsidRPr="00376BBF">
        <w:endnoteReference w:id="9"/>
      </w:r>
      <w:r w:rsidRPr="00376BBF">
        <w:t>.</w:t>
      </w:r>
    </w:p>
    <w:p w:rsidR="00F80D99" w:rsidRPr="00376BBF" w:rsidRDefault="00F80D99" w:rsidP="00F80D99">
      <w:r w:rsidRPr="00376BBF">
        <w:t>There are two primary flows:</w:t>
      </w:r>
    </w:p>
    <w:p w:rsidR="00F80D99" w:rsidRPr="00376BBF" w:rsidRDefault="00F80D99" w:rsidP="00592E24">
      <w:pPr>
        <w:pStyle w:val="Heading4"/>
      </w:pPr>
      <w:r w:rsidRPr="00376BBF">
        <w:t>Attribute validation flow</w:t>
      </w:r>
    </w:p>
    <w:p w:rsidR="00F80D99" w:rsidRPr="00376BBF" w:rsidRDefault="00F80D99" w:rsidP="00F80D99">
      <w:r w:rsidRPr="00376BBF">
        <w:t>Attribute validation is the validation of a self-asserted identity attributes. This could occur via a:</w:t>
      </w:r>
    </w:p>
    <w:p w:rsidR="00F80D99" w:rsidRPr="00376BBF" w:rsidRDefault="00F80D99" w:rsidP="00F80D99">
      <w:r w:rsidRPr="00376BBF">
        <w:t>Presenting a self-asserted attribute bundle and returning a MATCH/NO-MATCH (optionally on a per attribute basis). For example, the Federal Government Document Verification Service (DVS).</w:t>
      </w:r>
    </w:p>
    <w:p w:rsidR="00F80D99" w:rsidRPr="00376BBF" w:rsidRDefault="00F80D99" w:rsidP="00F80D99">
      <w:r w:rsidRPr="00376BBF">
        <w:t xml:space="preserve">Presenting an authorisation requirement with an asserted a set of attributes. e.g. ‘Is this person allowed to drive a heavy vehicle in Queensland?’ </w:t>
      </w:r>
    </w:p>
    <w:p w:rsidR="00F80D99" w:rsidRPr="00376BBF" w:rsidRDefault="00F80D99" w:rsidP="00592E24">
      <w:pPr>
        <w:pStyle w:val="Heading4"/>
      </w:pPr>
      <w:r w:rsidRPr="00376BBF">
        <w:t>Attribute query flow</w:t>
      </w:r>
    </w:p>
    <w:p w:rsidR="00F80D99" w:rsidRPr="00376BBF" w:rsidRDefault="00F80D99" w:rsidP="00F80D99">
      <w:r w:rsidRPr="00376BBF">
        <w:t>Attribute query is the retrieval of verified identity attributes based upon:</w:t>
      </w:r>
    </w:p>
    <w:p w:rsidR="00F80D99" w:rsidRPr="00376BBF" w:rsidRDefault="00F80D99" w:rsidP="00592E24">
      <w:pPr>
        <w:pStyle w:val="Bullet1"/>
      </w:pPr>
      <w:r w:rsidRPr="00376BBF">
        <w:t xml:space="preserve">Providing a common identifier (GUSID or LUSID) to be used as a look-up key for the subject. This requires both parties to select and standardise upon a USID (unique shared identifier) as the lookup key that is shared between the requester and the </w:t>
      </w:r>
      <w:r w:rsidRPr="00376BBF">
        <w:lastRenderedPageBreak/>
        <w:t>attribute provider or map between two different identifiers typically via an enrolment process. Establishing shared identifiers can be non-trivial to establish and may have privacy implications.</w:t>
      </w:r>
    </w:p>
    <w:p w:rsidR="00F80D99" w:rsidRPr="00376BBF" w:rsidRDefault="00F80D99" w:rsidP="00592E24">
      <w:pPr>
        <w:pStyle w:val="Bullet1"/>
      </w:pPr>
      <w:r w:rsidRPr="00376BBF">
        <w:t>Providing a bundle of attributes to lookup the subject – requires the attribute provider to have an identity resolution process. A common identifier may also assist, but may not be mandatory. Support for flows which encompass identity resolution as opposed to a simple key-based lookup is important for stand-alone attributes providers being able to service a broad customer base across multiple federated domains without the need to standardise common identifiers, which can have cost and privacy impacts.</w:t>
      </w:r>
    </w:p>
    <w:p w:rsidR="00F80D99" w:rsidRPr="00376BBF" w:rsidRDefault="00F80D99" w:rsidP="00F80D99">
      <w:r w:rsidRPr="00376BBF">
        <w:t>An attribute query can be for an individual subject’s attributes or a bulk query for attributes belonging to multiple subjects i.e. a synchronisation.</w:t>
      </w:r>
    </w:p>
    <w:p w:rsidR="00F80D99" w:rsidRPr="00376BBF" w:rsidRDefault="00F80D99" w:rsidP="00F80D99">
      <w:r w:rsidRPr="00376BBF">
        <w:t>Attribute query can be based upon either a:</w:t>
      </w:r>
    </w:p>
    <w:p w:rsidR="00F80D99" w:rsidRPr="00376BBF" w:rsidRDefault="00F80D99" w:rsidP="00592E24">
      <w:pPr>
        <w:pStyle w:val="Bullet1"/>
      </w:pPr>
      <w:r w:rsidRPr="00376BBF">
        <w:t>pull model attribute data queried in real-time by the IdP or RP</w:t>
      </w:r>
    </w:p>
    <w:p w:rsidR="00F80D99" w:rsidRPr="00376BBF" w:rsidRDefault="00F80D99" w:rsidP="00592E24">
      <w:pPr>
        <w:pStyle w:val="Bullet1"/>
      </w:pPr>
      <w:r w:rsidRPr="00376BBF">
        <w:t>push model where the attribute provider proactively pushes (synchronises) attributes with an IdP or RP (typically in bulk).</w:t>
      </w:r>
    </w:p>
    <w:p w:rsidR="00F80D99" w:rsidRPr="00376BBF" w:rsidRDefault="00F80D99" w:rsidP="00F80D99">
      <w:r w:rsidRPr="00376BBF">
        <w:t>Attribute query maybe be used as part of a federated authentication process for ‘back-channel attribute retrieval’ through a direct connection to an attribute source, compared to a front-channel attribute delivery where the claimant is directly involved in the process (typically as part of the authentication event).</w:t>
      </w:r>
    </w:p>
    <w:p w:rsidR="00F80D99" w:rsidRDefault="00F80D99" w:rsidP="00F80D99">
      <w:pPr>
        <w:pStyle w:val="BodyText"/>
      </w:pPr>
    </w:p>
    <w:p w:rsidR="00F80D99" w:rsidRDefault="00F80D99" w:rsidP="00F80D99">
      <w:pPr>
        <w:pStyle w:val="BodyText"/>
      </w:pPr>
    </w:p>
    <w:p w:rsidR="00F80D99" w:rsidRDefault="00F80D99" w:rsidP="00F80D99">
      <w:pPr>
        <w:pStyle w:val="BodyText"/>
      </w:pPr>
    </w:p>
    <w:p w:rsidR="00F80D99" w:rsidRDefault="00F80D99" w:rsidP="00F80D99">
      <w:pPr>
        <w:pStyle w:val="BodyText"/>
      </w:pPr>
    </w:p>
    <w:p w:rsidR="00F80D99" w:rsidRDefault="00F80D99" w:rsidP="00F80D99">
      <w:pPr>
        <w:pStyle w:val="BodyText"/>
      </w:pPr>
    </w:p>
    <w:p w:rsidR="00F80D99" w:rsidRDefault="00F80D99" w:rsidP="00F80D99">
      <w:pPr>
        <w:pStyle w:val="BodyText"/>
      </w:pPr>
    </w:p>
    <w:bookmarkEnd w:id="2"/>
    <w:p w:rsidR="0022094E" w:rsidRPr="003E716D" w:rsidRDefault="0022094E" w:rsidP="00B12183">
      <w:pPr>
        <w:pStyle w:val="Heading1nonumber"/>
        <w:pageBreakBefore/>
      </w:pPr>
      <w:r w:rsidRPr="003E716D">
        <w:lastRenderedPageBreak/>
        <w:t>Document history</w:t>
      </w:r>
    </w:p>
    <w:p w:rsidR="00FF3EF6" w:rsidRPr="0022094E" w:rsidRDefault="00FF3EF6" w:rsidP="00766CCB"/>
    <w:tbl>
      <w:tblPr>
        <w:tblStyle w:val="Table-LowInk"/>
        <w:tblW w:w="9900" w:type="dxa"/>
        <w:tblInd w:w="-6" w:type="dxa"/>
        <w:tblLook w:val="01E0" w:firstRow="1" w:lastRow="1" w:firstColumn="1" w:lastColumn="1" w:noHBand="0" w:noVBand="0"/>
      </w:tblPr>
      <w:tblGrid>
        <w:gridCol w:w="1040"/>
        <w:gridCol w:w="1773"/>
        <w:gridCol w:w="2835"/>
        <w:gridCol w:w="4252"/>
      </w:tblGrid>
      <w:tr w:rsidR="001B7DE2" w:rsidRPr="00221D45" w:rsidTr="001B7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Pr>
          <w:p w:rsidR="001B7DE2" w:rsidRPr="009142A2" w:rsidRDefault="001B7DE2" w:rsidP="00766CCB">
            <w:pPr>
              <w:ind w:left="6"/>
            </w:pPr>
            <w:r w:rsidRPr="009142A2">
              <w:t>Version</w:t>
            </w:r>
          </w:p>
        </w:tc>
        <w:tc>
          <w:tcPr>
            <w:tcW w:w="1773" w:type="dxa"/>
          </w:tcPr>
          <w:p w:rsidR="001B7DE2" w:rsidRPr="009142A2" w:rsidRDefault="001B7DE2" w:rsidP="00766CCB">
            <w:pPr>
              <w:ind w:left="0"/>
              <w:cnfStyle w:val="100000000000" w:firstRow="1" w:lastRow="0" w:firstColumn="0" w:lastColumn="0" w:oddVBand="0" w:evenVBand="0" w:oddHBand="0" w:evenHBand="0" w:firstRowFirstColumn="0" w:firstRowLastColumn="0" w:lastRowFirstColumn="0" w:lastRowLastColumn="0"/>
            </w:pPr>
            <w:r w:rsidRPr="009142A2">
              <w:t>Date</w:t>
            </w:r>
          </w:p>
        </w:tc>
        <w:tc>
          <w:tcPr>
            <w:tcW w:w="2835"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t>Author</w:t>
            </w:r>
          </w:p>
        </w:tc>
        <w:tc>
          <w:tcPr>
            <w:tcW w:w="4252" w:type="dxa"/>
          </w:tcPr>
          <w:p w:rsidR="001B7DE2" w:rsidRPr="009142A2" w:rsidRDefault="001B7DE2" w:rsidP="00766CCB">
            <w:pPr>
              <w:ind w:left="28"/>
              <w:cnfStyle w:val="100000000000" w:firstRow="1" w:lastRow="0" w:firstColumn="0" w:lastColumn="0" w:oddVBand="0" w:evenVBand="0" w:oddHBand="0" w:evenHBand="0" w:firstRowFirstColumn="0" w:firstRowLastColumn="0" w:lastRowFirstColumn="0" w:lastRowLastColumn="0"/>
            </w:pPr>
            <w:r w:rsidRPr="009142A2">
              <w:t>Key changes made</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rsidRPr="003E716D">
              <w:t>0.0.1</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June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First draft</w:t>
            </w:r>
          </w:p>
        </w:tc>
      </w:tr>
      <w:tr w:rsidR="00B62A7A" w:rsidRPr="00FF3EF6" w:rsidTr="001B7DE2">
        <w:tblPrEx>
          <w:tblCellMar>
            <w:top w:w="57" w:type="dxa"/>
            <w:left w:w="119" w:type="dxa"/>
            <w:right w:w="119" w:type="dxa"/>
          </w:tblCellMar>
        </w:tblPrEx>
        <w:trPr>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0.1.0</w:t>
            </w:r>
          </w:p>
        </w:tc>
        <w:tc>
          <w:tcPr>
            <w:tcW w:w="1773" w:type="dxa"/>
          </w:tcPr>
          <w:p w:rsidR="00B62A7A" w:rsidRPr="003E716D" w:rsidRDefault="00B62A7A" w:rsidP="00B62A7A">
            <w:pPr>
              <w:ind w:left="0"/>
              <w:cnfStyle w:val="000000000000" w:firstRow="0" w:lastRow="0" w:firstColumn="0" w:lastColumn="0" w:oddVBand="0" w:evenVBand="0" w:oddHBand="0" w:evenHBand="0" w:firstRowFirstColumn="0" w:firstRowLastColumn="0" w:lastRowFirstColumn="0" w:lastRowLastColumn="0"/>
            </w:pPr>
            <w:r>
              <w:t>November 2016</w:t>
            </w:r>
          </w:p>
        </w:tc>
        <w:tc>
          <w:tcPr>
            <w:tcW w:w="2835"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00000000000" w:firstRow="0" w:lastRow="0" w:firstColumn="0" w:lastColumn="0" w:oddVBand="0" w:evenVBand="0" w:oddHBand="0" w:evenHBand="0" w:firstRowFirstColumn="0" w:firstRowLastColumn="0" w:lastRowFirstColumn="0" w:lastRowLastColumn="0"/>
            </w:pPr>
            <w:r>
              <w:t>Draft for informal comment</w:t>
            </w:r>
          </w:p>
        </w:tc>
      </w:tr>
      <w:tr w:rsidR="00B62A7A" w:rsidRPr="00FF3EF6" w:rsidTr="001B7DE2">
        <w:tblPrEx>
          <w:tblCellMar>
            <w:top w:w="57" w:type="dxa"/>
            <w:left w:w="119" w:type="dxa"/>
            <w:right w:w="119" w:type="dxa"/>
          </w:tblCellMar>
        </w:tblPrEx>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0" w:type="dxa"/>
          </w:tcPr>
          <w:p w:rsidR="00B62A7A" w:rsidRPr="003E716D" w:rsidRDefault="00B62A7A" w:rsidP="00B62A7A">
            <w:pPr>
              <w:ind w:left="0"/>
            </w:pPr>
            <w:r>
              <w:t>1.0.0</w:t>
            </w:r>
          </w:p>
        </w:tc>
        <w:tc>
          <w:tcPr>
            <w:tcW w:w="1773" w:type="dxa"/>
          </w:tcPr>
          <w:p w:rsidR="00B62A7A" w:rsidRPr="003E716D" w:rsidRDefault="00B62A7A" w:rsidP="00B62A7A">
            <w:pPr>
              <w:ind w:left="0"/>
              <w:cnfStyle w:val="010000000000" w:firstRow="0" w:lastRow="1" w:firstColumn="0" w:lastColumn="0" w:oddVBand="0" w:evenVBand="0" w:oddHBand="0" w:evenHBand="0" w:firstRowFirstColumn="0" w:firstRowLastColumn="0" w:lastRowFirstColumn="0" w:lastRowLastColumn="0"/>
            </w:pPr>
            <w:r>
              <w:t>May 2017</w:t>
            </w:r>
          </w:p>
        </w:tc>
        <w:tc>
          <w:tcPr>
            <w:tcW w:w="2835"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QGCIO</w:t>
            </w:r>
          </w:p>
        </w:tc>
        <w:tc>
          <w:tcPr>
            <w:tcW w:w="4252" w:type="dxa"/>
          </w:tcPr>
          <w:p w:rsidR="00B62A7A" w:rsidRPr="003E716D" w:rsidRDefault="00B62A7A" w:rsidP="00B62A7A">
            <w:pPr>
              <w:ind w:left="22"/>
              <w:cnfStyle w:val="010000000000" w:firstRow="0" w:lastRow="1" w:firstColumn="0" w:lastColumn="0" w:oddVBand="0" w:evenVBand="0" w:oddHBand="0" w:evenHBand="0" w:firstRowFirstColumn="0" w:firstRowLastColumn="0" w:lastRowFirstColumn="0" w:lastRowLastColumn="0"/>
            </w:pPr>
            <w:r>
              <w:t>No changes following informal or formal consultation. Administratively approved by Director, Strategy, Policy and Governance, QGCIO</w:t>
            </w:r>
          </w:p>
        </w:tc>
      </w:tr>
    </w:tbl>
    <w:p w:rsidR="00CA23BE" w:rsidRPr="00055798" w:rsidRDefault="00CA23BE" w:rsidP="006517B2">
      <w:pPr>
        <w:pStyle w:val="BodyText"/>
      </w:pPr>
    </w:p>
    <w:sectPr w:rsidR="00CA23BE" w:rsidRPr="00055798" w:rsidSect="00B5132B">
      <w:headerReference w:type="even" r:id="rId29"/>
      <w:pgSz w:w="11906" w:h="16838" w:code="9"/>
      <w:pgMar w:top="1134"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7B4" w:rsidRDefault="003147B4" w:rsidP="00766CCB">
      <w:r>
        <w:separator/>
      </w:r>
    </w:p>
    <w:p w:rsidR="003147B4" w:rsidRDefault="003147B4" w:rsidP="00766CCB"/>
    <w:p w:rsidR="003147B4" w:rsidRDefault="003147B4" w:rsidP="00766CCB"/>
    <w:p w:rsidR="003147B4" w:rsidRDefault="003147B4" w:rsidP="00766CCB"/>
  </w:endnote>
  <w:endnote w:type="continuationSeparator" w:id="0">
    <w:p w:rsidR="003147B4" w:rsidRDefault="003147B4" w:rsidP="00766CCB">
      <w:r>
        <w:continuationSeparator/>
      </w:r>
    </w:p>
    <w:p w:rsidR="003147B4" w:rsidRDefault="003147B4" w:rsidP="00766CCB"/>
    <w:p w:rsidR="003147B4" w:rsidRDefault="003147B4" w:rsidP="00766CCB"/>
    <w:p w:rsidR="003147B4" w:rsidRDefault="003147B4" w:rsidP="00766CCB"/>
  </w:endnote>
  <w:endnote w:id="1">
    <w:p w:rsidR="00F80D99" w:rsidRPr="000A1DF5" w:rsidRDefault="00F80D99" w:rsidP="00F80D99">
      <w:pPr>
        <w:pStyle w:val="EndnoteText"/>
        <w:rPr>
          <w:rFonts w:cs="Arial"/>
        </w:rPr>
      </w:pPr>
      <w:r w:rsidRPr="000A1DF5">
        <w:rPr>
          <w:rStyle w:val="EndnoteReference"/>
          <w:rFonts w:cs="Arial"/>
        </w:rPr>
        <w:endnoteRef/>
      </w:r>
      <w:r w:rsidRPr="000A1DF5">
        <w:rPr>
          <w:rFonts w:cs="Arial"/>
        </w:rPr>
        <w:t>https://www.researchgate.net/publication/235178793_Identity_federations_A_new_perspective_for_Bangladesh</w:t>
      </w:r>
    </w:p>
  </w:endnote>
  <w:endnote w:id="2">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https://en.wikipedia.org/wiki/User-Managed_Access</w:t>
      </w:r>
    </w:p>
  </w:endnote>
  <w:endnote w:id="3">
    <w:p w:rsidR="00F80D99" w:rsidRPr="000A1DF5" w:rsidRDefault="00F80D99" w:rsidP="00F80D99">
      <w:pPr>
        <w:pStyle w:val="EndnoteText"/>
        <w:rPr>
          <w:rFonts w:cs="Arial"/>
        </w:rPr>
      </w:pPr>
      <w:r w:rsidRPr="000A1DF5">
        <w:rPr>
          <w:rStyle w:val="EndnoteReference"/>
          <w:rFonts w:cs="Arial"/>
        </w:rPr>
        <w:endnoteRef/>
      </w:r>
      <w:hyperlink r:id="rId1" w:history="1">
        <w:r w:rsidRPr="000A1DF5">
          <w:rPr>
            <w:rStyle w:val="Hyperlink"/>
            <w:rFonts w:cs="Arial"/>
          </w:rPr>
          <w:t>http://kantarainitiative.org/confluence/download/attachments/76907066/NZ%20ProjectClosureReport_PoC%20Delegations-Final%20Version%20SIG%20redacted%20Rev1.pdf?api=v2</w:t>
        </w:r>
      </w:hyperlink>
    </w:p>
  </w:endnote>
  <w:endnote w:id="4">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http://ieeexplore.ieee.org/document/5655096/?reload=true</w:t>
      </w:r>
    </w:p>
  </w:endnote>
  <w:endnote w:id="5">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http://csrc.nist.gov/projects/abac/</w:t>
      </w:r>
    </w:p>
  </w:endnote>
  <w:endnote w:id="6">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https://www.whitehouse.gov/sites/default/files/rss_viewer/NSTICstrategy_041511.pdf</w:t>
      </w:r>
    </w:p>
  </w:endnote>
  <w:endnote w:id="7">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https://www.idmanagement.gov/IDM/servlet/fileField?entityId=ka0t0000000TNNBAA4&amp;field=File__Body__s</w:t>
      </w:r>
    </w:p>
  </w:endnote>
  <w:endnote w:id="8">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http://csrc.nist.gov/publications/drafts/nistir-7817/Draft-NISTIR-7817.pdf</w:t>
      </w:r>
    </w:p>
  </w:endnote>
  <w:endnote w:id="9">
    <w:p w:rsidR="00F80D99" w:rsidRPr="000A1DF5" w:rsidRDefault="00F80D99" w:rsidP="00F80D99">
      <w:pPr>
        <w:pStyle w:val="EndnoteText"/>
        <w:rPr>
          <w:rFonts w:cs="Arial"/>
        </w:rPr>
      </w:pPr>
      <w:r w:rsidRPr="000A1DF5">
        <w:rPr>
          <w:rStyle w:val="EndnoteReference"/>
          <w:rFonts w:cs="Arial"/>
        </w:rPr>
        <w:endnoteRef/>
      </w:r>
      <w:r w:rsidRPr="000A1DF5">
        <w:rPr>
          <w:rFonts w:cs="Arial"/>
        </w:rPr>
        <w:t xml:space="preserve"> http://csrc.nist.gov/publications/drafts/nistir-7817/Draft-NISTIR-7817.pdf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etaOT-Norm">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Pr="006517B2" w:rsidRDefault="003147B4" w:rsidP="00E55257">
    <w:pPr>
      <w:pStyle w:val="Footerred"/>
      <w:pBdr>
        <w:top w:val="single" w:sz="4" w:space="1" w:color="808080"/>
      </w:pBdr>
      <w:rPr>
        <w:color w:val="A6A6A6" w:themeColor="background1" w:themeShade="A6"/>
      </w:rPr>
    </w:pPr>
    <w:r>
      <w:rPr>
        <w:caps w:val="0"/>
        <w:color w:val="A6A6A6" w:themeColor="background1" w:themeShade="A6"/>
      </w:rPr>
      <w:t>Final</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v1.0.0</w:t>
    </w:r>
    <w:r w:rsidRPr="006517B2">
      <w:rPr>
        <w:caps w:val="0"/>
        <w:color w:val="A6A6A6" w:themeColor="background1" w:themeShade="A6"/>
      </w:rPr>
      <w:t xml:space="preserve"> </w:t>
    </w:r>
    <w:r w:rsidRPr="006517B2">
      <w:rPr>
        <w:rFonts w:cs="Arial"/>
        <w:caps w:val="0"/>
        <w:color w:val="A6A6A6" w:themeColor="background1" w:themeShade="A6"/>
      </w:rPr>
      <w:t>|</w:t>
    </w:r>
    <w:r w:rsidRPr="006517B2">
      <w:rPr>
        <w:caps w:val="0"/>
        <w:color w:val="A6A6A6" w:themeColor="background1" w:themeShade="A6"/>
      </w:rPr>
      <w:t xml:space="preserve"> </w:t>
    </w:r>
    <w:r>
      <w:rPr>
        <w:caps w:val="0"/>
        <w:color w:val="A6A6A6" w:themeColor="background1" w:themeShade="A6"/>
      </w:rPr>
      <w:t>May 2017</w:t>
    </w:r>
    <w:r w:rsidRPr="006517B2">
      <w:rPr>
        <w:color w:val="A6A6A6" w:themeColor="background1" w:themeShade="A6"/>
      </w:rPr>
      <w:t xml:space="preserve"> </w:t>
    </w:r>
    <w:r w:rsidRPr="006517B2">
      <w:rPr>
        <w:color w:val="A6A6A6" w:themeColor="background1" w:themeShade="A6"/>
      </w:rPr>
      <w:tab/>
    </w:r>
    <w:r w:rsidRPr="006517B2">
      <w:rPr>
        <w:color w:val="A6A6A6" w:themeColor="background1" w:themeShade="A6"/>
      </w:rPr>
      <w:tab/>
    </w:r>
    <w:r w:rsidRPr="006517B2">
      <w:rPr>
        <w:caps w:val="0"/>
        <w:color w:val="A6A6A6" w:themeColor="background1" w:themeShade="A6"/>
      </w:rPr>
      <w:t xml:space="preserve">Page </w:t>
    </w:r>
    <w:r w:rsidRPr="006517B2">
      <w:rPr>
        <w:caps w:val="0"/>
        <w:color w:val="A6A6A6" w:themeColor="background1" w:themeShade="A6"/>
      </w:rPr>
      <w:fldChar w:fldCharType="begin"/>
    </w:r>
    <w:r w:rsidRPr="006517B2">
      <w:rPr>
        <w:caps w:val="0"/>
        <w:color w:val="A6A6A6" w:themeColor="background1" w:themeShade="A6"/>
      </w:rPr>
      <w:instrText xml:space="preserve"> PAGE </w:instrText>
    </w:r>
    <w:r w:rsidRPr="006517B2">
      <w:rPr>
        <w:caps w:val="0"/>
        <w:color w:val="A6A6A6" w:themeColor="background1" w:themeShade="A6"/>
      </w:rPr>
      <w:fldChar w:fldCharType="separate"/>
    </w:r>
    <w:r w:rsidR="00B9565F">
      <w:rPr>
        <w:caps w:val="0"/>
        <w:noProof/>
        <w:color w:val="A6A6A6" w:themeColor="background1" w:themeShade="A6"/>
      </w:rPr>
      <w:t>3</w:t>
    </w:r>
    <w:r w:rsidRPr="006517B2">
      <w:rPr>
        <w:caps w:val="0"/>
        <w:color w:val="A6A6A6" w:themeColor="background1" w:themeShade="A6"/>
      </w:rPr>
      <w:fldChar w:fldCharType="end"/>
    </w:r>
    <w:r w:rsidRPr="006517B2">
      <w:rPr>
        <w:caps w:val="0"/>
        <w:color w:val="A6A6A6" w:themeColor="background1" w:themeShade="A6"/>
      </w:rPr>
      <w:t xml:space="preserve"> of </w:t>
    </w:r>
    <w:r w:rsidRPr="006517B2">
      <w:rPr>
        <w:caps w:val="0"/>
        <w:color w:val="A6A6A6" w:themeColor="background1" w:themeShade="A6"/>
      </w:rPr>
      <w:fldChar w:fldCharType="begin"/>
    </w:r>
    <w:r w:rsidRPr="006517B2">
      <w:rPr>
        <w:caps w:val="0"/>
        <w:color w:val="A6A6A6" w:themeColor="background1" w:themeShade="A6"/>
      </w:rPr>
      <w:instrText xml:space="preserve"> NUMPAGES </w:instrText>
    </w:r>
    <w:r w:rsidRPr="006517B2">
      <w:rPr>
        <w:caps w:val="0"/>
        <w:color w:val="A6A6A6" w:themeColor="background1" w:themeShade="A6"/>
      </w:rPr>
      <w:fldChar w:fldCharType="separate"/>
    </w:r>
    <w:r w:rsidR="00B9565F">
      <w:rPr>
        <w:caps w:val="0"/>
        <w:noProof/>
        <w:color w:val="A6A6A6" w:themeColor="background1" w:themeShade="A6"/>
      </w:rPr>
      <w:t>16</w:t>
    </w:r>
    <w:r w:rsidRPr="006517B2">
      <w:rPr>
        <w:caps w:val="0"/>
        <w:color w:val="A6A6A6" w:themeColor="background1" w:themeShade="A6"/>
      </w:rPr>
      <w:fldChar w:fldCharType="end"/>
    </w:r>
  </w:p>
  <w:p w:rsidR="003147B4" w:rsidRPr="009773A9" w:rsidRDefault="003147B4" w:rsidP="00E55257">
    <w:pPr>
      <w:pStyle w:val="Footerred"/>
      <w:pBdr>
        <w:top w:val="none" w:sz="0" w:space="0" w:color="auto"/>
      </w:pBdr>
      <w:jc w:val="center"/>
      <w:rPr>
        <w:caps w:val="0"/>
      </w:rPr>
    </w:pPr>
    <w:r>
      <w:rPr>
        <w:caps w:val="0"/>
      </w:rPr>
      <w:t>PUBLIC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6517B2">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7B4" w:rsidRDefault="003147B4" w:rsidP="00766CCB">
      <w:r>
        <w:separator/>
      </w:r>
    </w:p>
  </w:footnote>
  <w:footnote w:type="continuationSeparator" w:id="0">
    <w:p w:rsidR="003147B4" w:rsidRDefault="003147B4" w:rsidP="00766CCB">
      <w:r>
        <w:continuationSeparator/>
      </w:r>
    </w:p>
  </w:footnote>
  <w:footnote w:type="continuationNotice" w:id="1">
    <w:p w:rsidR="003147B4" w:rsidRDefault="003147B4" w:rsidP="00766C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E55257">
    <w:pPr>
      <w:pStyle w:val="Header"/>
      <w:pBdr>
        <w:top w:val="single" w:sz="4" w:space="1" w:color="808080"/>
        <w:bottom w:val="single" w:sz="4" w:space="1" w:color="808080"/>
      </w:pBdr>
      <w:tabs>
        <w:tab w:val="clear" w:pos="4153"/>
        <w:tab w:val="clear" w:pos="8306"/>
        <w:tab w:val="center" w:pos="4820"/>
        <w:tab w:val="right" w:pos="9638"/>
      </w:tabs>
      <w:spacing w:before="120" w:after="120" w:line="280" w:lineRule="atLeast"/>
    </w:pPr>
    <w:r>
      <w:rPr>
        <w:sz w:val="16"/>
        <w:szCs w:val="16"/>
      </w:rPr>
      <w:t>QGEA</w:t>
    </w:r>
    <w:r>
      <w:tab/>
    </w:r>
    <w:r>
      <w:rPr>
        <w:color w:val="FF0000"/>
        <w:sz w:val="16"/>
        <w:szCs w:val="16"/>
      </w:rPr>
      <w:t>PUBLIC</w:t>
    </w:r>
    <w:r>
      <w:tab/>
    </w:r>
    <w:r>
      <w:rPr>
        <w:sz w:val="16"/>
        <w:szCs w:val="16"/>
      </w:rPr>
      <w:t xml:space="preserve">Federated identity blueprint – </w:t>
    </w:r>
    <w:r w:rsidR="004766CA">
      <w:rPr>
        <w:sz w:val="16"/>
        <w:szCs w:val="16"/>
      </w:rPr>
      <w:t>Process</w:t>
    </w:r>
    <w:r>
      <w:rPr>
        <w:sz w:val="16"/>
        <w:szCs w:val="16"/>
      </w:rPr>
      <w:t xml:space="preserve"> models</w:t>
    </w:r>
  </w:p>
  <w:p w:rsidR="003147B4" w:rsidRPr="00E55257" w:rsidRDefault="003147B4" w:rsidP="00E55257">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6517B2">
    <w:pPr>
      <w:pStyle w:val="Header"/>
      <w:pBdr>
        <w:bottom w:val="none" w:sz="0" w:space="0" w:color="auto"/>
      </w:pBdr>
    </w:pPr>
    <w:r>
      <w:rPr>
        <w:noProof/>
      </w:rPr>
      <w:drawing>
        <wp:anchor distT="0" distB="0" distL="114300" distR="114300" simplePos="0" relativeHeight="251661312" behindDoc="1" locked="0" layoutInCell="1" allowOverlap="1">
          <wp:simplePos x="0" y="0"/>
          <wp:positionH relativeFrom="page">
            <wp:posOffset>0</wp:posOffset>
          </wp:positionH>
          <wp:positionV relativeFrom="page">
            <wp:posOffset>596265</wp:posOffset>
          </wp:positionV>
          <wp:extent cx="7570470" cy="10078720"/>
          <wp:effectExtent l="0" t="0" r="0" b="0"/>
          <wp:wrapNone/>
          <wp:docPr id="8" name="Picture 8"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
                  <pic:cNvPicPr>
                    <a:picLocks noChangeAspect="1" noChangeArrowheads="1"/>
                  </pic:cNvPicPr>
                </pic:nvPicPr>
                <pic:blipFill>
                  <a:blip r:embed="rId1">
                    <a:extLst>
                      <a:ext uri="{28A0092B-C50C-407E-A947-70E740481C1C}">
                        <a14:useLocalDpi xmlns:a14="http://schemas.microsoft.com/office/drawing/2010/main" val="0"/>
                      </a:ext>
                    </a:extLst>
                  </a:blip>
                  <a:srcRect t="5586"/>
                  <a:stretch>
                    <a:fillRect/>
                  </a:stretch>
                </pic:blipFill>
                <pic:spPr bwMode="auto">
                  <a:xfrm>
                    <a:off x="0" y="0"/>
                    <a:ext cx="7570470" cy="10078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3DE8A77">
              <wp:simplePos x="0" y="0"/>
              <wp:positionH relativeFrom="page">
                <wp:posOffset>612140</wp:posOffset>
              </wp:positionH>
              <wp:positionV relativeFrom="page">
                <wp:posOffset>9587865</wp:posOffset>
              </wp:positionV>
              <wp:extent cx="2286000" cy="342900"/>
              <wp:effectExtent l="2540" t="0" r="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7B4" w:rsidRPr="00A867F7" w:rsidRDefault="003147B4" w:rsidP="00766CCB">
                          <w:pPr>
                            <w:rPr>
                              <w:rStyle w:val="Titlepageinf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E8A77" id="_x0000_t202" coordsize="21600,21600" o:spt="202" path="m,l,21600r21600,l21600,xe">
              <v:stroke joinstyle="miter"/>
              <v:path gradientshapeok="t" o:connecttype="rect"/>
            </v:shapetype>
            <v:shape id="Text Box 5" o:spid="_x0000_s1026" type="#_x0000_t202" style="position:absolute;margin-left:48.2pt;margin-top:754.95pt;width:180pt;height: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" filled="f" stroked="f">
              <v:textbox inset="0,0,0,0">
                <w:txbxContent>
                  <w:p w:rsidR="003147B4" w:rsidRPr="00A867F7" w:rsidRDefault="003147B4" w:rsidP="00766CCB">
                    <w:pPr>
                      <w:rPr>
                        <w:rStyle w:val="Titlepageinfo"/>
                      </w:rPr>
                    </w:pPr>
                  </w:p>
                </w:txbxContent>
              </v:textbox>
              <w10:wrap anchorx="page" anchory="page"/>
            </v:shape>
          </w:pict>
        </mc:Fallback>
      </mc:AlternateContent>
    </w:r>
    <w:r>
      <w:rPr>
        <w:noProof/>
      </w:rPr>
      <w:drawing>
        <wp:anchor distT="0" distB="0" distL="114300" distR="114300" simplePos="0" relativeHeight="251659264" behindDoc="1" locked="0" layoutInCell="1" allowOverlap="1" wp14:anchorId="43DE8A78">
          <wp:simplePos x="0" y="0"/>
          <wp:positionH relativeFrom="page">
            <wp:posOffset>252095</wp:posOffset>
          </wp:positionH>
          <wp:positionV relativeFrom="page">
            <wp:posOffset>9613265</wp:posOffset>
          </wp:positionV>
          <wp:extent cx="7048500" cy="904875"/>
          <wp:effectExtent l="0" t="0" r="0" b="0"/>
          <wp:wrapNone/>
          <wp:docPr id="9" name="Picture 9" descr="QGCIO-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GCIO-branding-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0" cy="904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7B4" w:rsidRDefault="003147B4" w:rsidP="00766C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BB00E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1C877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BCFE2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659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A61F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0B2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2A79C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26E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2C21376"/>
    <w:lvl w:ilvl="0">
      <w:start w:val="1"/>
      <w:numFmt w:val="decimal"/>
      <w:pStyle w:val="ListNumber"/>
      <w:lvlText w:val="%1."/>
      <w:lvlJc w:val="left"/>
      <w:pPr>
        <w:tabs>
          <w:tab w:val="num" w:pos="360"/>
        </w:tabs>
        <w:ind w:left="360" w:hanging="360"/>
      </w:pPr>
    </w:lvl>
  </w:abstractNum>
  <w:abstractNum w:abstractNumId="9" w15:restartNumberingAfterBreak="0">
    <w:nsid w:val="07393901"/>
    <w:multiLevelType w:val="multilevel"/>
    <w:tmpl w:val="9610500E"/>
    <w:lvl w:ilvl="0">
      <w:start w:val="1"/>
      <w:numFmt w:val="bullet"/>
      <w:pStyle w:val="Tablebulletcircle"/>
      <w:lvlText w:val=""/>
      <w:lvlJc w:val="left"/>
      <w:pPr>
        <w:tabs>
          <w:tab w:val="num" w:pos="284"/>
        </w:tabs>
        <w:ind w:left="284" w:hanging="284"/>
      </w:pPr>
      <w:rPr>
        <w:rFonts w:ascii="Symbol" w:hAnsi="Symbol" w:hint="default"/>
        <w:color w:val="00315F"/>
      </w:rPr>
    </w:lvl>
    <w:lvl w:ilvl="1">
      <w:start w:val="1"/>
      <w:numFmt w:val="bullet"/>
      <w:pStyle w:val="Tablebulletdash"/>
      <w:lvlText w:val="–"/>
      <w:lvlJc w:val="left"/>
      <w:pPr>
        <w:tabs>
          <w:tab w:val="num" w:pos="567"/>
        </w:tabs>
        <w:ind w:left="567" w:hanging="283"/>
      </w:pPr>
      <w:rPr>
        <w:rFonts w:ascii="Arial" w:hAnsi="Arial" w:hint="default"/>
        <w:color w:val="2E526B"/>
      </w:rPr>
    </w:lvl>
    <w:lvl w:ilvl="2">
      <w:start w:val="1"/>
      <w:numFmt w:val="none"/>
      <w:suff w:val="nothing"/>
      <w:lvlText w:val=""/>
      <w:lvlJc w:val="left"/>
      <w:pPr>
        <w:ind w:left="567" w:firstLine="0"/>
      </w:pPr>
      <w:rPr>
        <w:rFonts w:hint="default"/>
        <w:sz w:val="16"/>
        <w:szCs w:val="16"/>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127F548B"/>
    <w:multiLevelType w:val="multilevel"/>
    <w:tmpl w:val="CD220B08"/>
    <w:lvl w:ilvl="0">
      <w:start w:val="1"/>
      <w:numFmt w:val="bullet"/>
      <w:pStyle w:val="Bullet1"/>
      <w:lvlText w:val=""/>
      <w:lvlJc w:val="left"/>
      <w:pPr>
        <w:tabs>
          <w:tab w:val="num" w:pos="1134"/>
        </w:tabs>
        <w:ind w:left="1134" w:hanging="425"/>
      </w:pPr>
      <w:rPr>
        <w:rFonts w:ascii="Symbol" w:hAnsi="Symbol" w:hint="default"/>
        <w:color w:val="auto"/>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11"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2" w15:restartNumberingAfterBreak="0">
    <w:nsid w:val="248C4A67"/>
    <w:multiLevelType w:val="hybridMultilevel"/>
    <w:tmpl w:val="FC945AC0"/>
    <w:lvl w:ilvl="0" w:tplc="D5CCA5AE">
      <w:start w:val="1"/>
      <w:numFmt w:val="bullet"/>
      <w:pStyle w:val="tablebullet2"/>
      <w:lvlText w:val="o"/>
      <w:lvlJc w:val="left"/>
      <w:pPr>
        <w:ind w:left="1995" w:hanging="360"/>
      </w:pPr>
      <w:rPr>
        <w:rFonts w:ascii="Courier New" w:hAnsi="Courier New" w:cs="Courier New"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3" w15:restartNumberingAfterBreak="0">
    <w:nsid w:val="2D6E1CE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0F531EF"/>
    <w:multiLevelType w:val="multilevel"/>
    <w:tmpl w:val="F8162AFA"/>
    <w:lvl w:ilvl="0">
      <w:start w:val="1"/>
      <w:numFmt w:val="upperLetter"/>
      <w:pStyle w:val="Appendix1"/>
      <w:lvlText w:val="Appendix %1"/>
      <w:lvlJc w:val="left"/>
      <w:pPr>
        <w:tabs>
          <w:tab w:val="num" w:pos="1701"/>
        </w:tabs>
        <w:ind w:left="1701" w:hanging="1701"/>
      </w:pPr>
      <w:rPr>
        <w:rFonts w:hint="default"/>
        <w:caps w:val="0"/>
      </w:rPr>
    </w:lvl>
    <w:lvl w:ilvl="1">
      <w:start w:val="1"/>
      <w:numFmt w:val="decimal"/>
      <w:pStyle w:val="Appendix2"/>
      <w:lvlText w:val="%1.%2"/>
      <w:lvlJc w:val="left"/>
      <w:pPr>
        <w:tabs>
          <w:tab w:val="num" w:pos="709"/>
        </w:tabs>
        <w:ind w:left="709" w:hanging="709"/>
      </w:pPr>
      <w:rPr>
        <w:rFonts w:hint="default"/>
      </w:rPr>
    </w:lvl>
    <w:lvl w:ilvl="2">
      <w:start w:val="1"/>
      <w:numFmt w:val="none"/>
      <w:pStyle w:val="Appendix3"/>
      <w:suff w:val="nothing"/>
      <w:lvlText w:val=""/>
      <w:lvlJc w:val="left"/>
      <w:pPr>
        <w:ind w:left="709" w:firstLine="0"/>
      </w:pPr>
      <w:rPr>
        <w:rFonts w:hint="default"/>
      </w:rPr>
    </w:lvl>
    <w:lvl w:ilvl="3">
      <w:start w:val="1"/>
      <w:numFmt w:val="none"/>
      <w:pStyle w:val="Appendix4"/>
      <w:lvlText w:val=""/>
      <w:lvlJc w:val="right"/>
      <w:pPr>
        <w:tabs>
          <w:tab w:val="num" w:pos="709"/>
        </w:tabs>
        <w:ind w:left="709" w:firstLine="0"/>
      </w:pPr>
      <w:rPr>
        <w:rFonts w:hint="default"/>
      </w:rPr>
    </w:lvl>
    <w:lvl w:ilvl="4">
      <w:start w:val="1"/>
      <w:numFmt w:val="none"/>
      <w:lvlText w:val=""/>
      <w:lvlJc w:val="left"/>
      <w:pPr>
        <w:tabs>
          <w:tab w:val="num" w:pos="709"/>
        </w:tabs>
        <w:ind w:left="709" w:firstLine="0"/>
      </w:pPr>
      <w:rPr>
        <w:rFonts w:hint="default"/>
      </w:rPr>
    </w:lvl>
    <w:lvl w:ilvl="5">
      <w:start w:val="1"/>
      <w:numFmt w:val="none"/>
      <w:lvlText w:val=""/>
      <w:lvlJc w:val="left"/>
      <w:pPr>
        <w:tabs>
          <w:tab w:val="num" w:pos="709"/>
        </w:tabs>
        <w:ind w:left="709" w:firstLine="0"/>
      </w:pPr>
      <w:rPr>
        <w:rFonts w:hint="default"/>
      </w:rPr>
    </w:lvl>
    <w:lvl w:ilvl="6">
      <w:start w:val="1"/>
      <w:numFmt w:val="none"/>
      <w:lvlText w:val=""/>
      <w:lvlJc w:val="righ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right"/>
      <w:pPr>
        <w:tabs>
          <w:tab w:val="num" w:pos="709"/>
        </w:tabs>
        <w:ind w:left="709" w:firstLine="0"/>
      </w:pPr>
      <w:rPr>
        <w:rFonts w:hint="default"/>
      </w:rPr>
    </w:lvl>
  </w:abstractNum>
  <w:abstractNum w:abstractNumId="15" w15:restartNumberingAfterBreak="0">
    <w:nsid w:val="41855F34"/>
    <w:multiLevelType w:val="hybridMultilevel"/>
    <w:tmpl w:val="52D66382"/>
    <w:lvl w:ilvl="0" w:tplc="113A34B4">
      <w:start w:val="1"/>
      <w:numFmt w:val="bullet"/>
      <w:pStyle w:val="tablebullet1"/>
      <w:lvlText w:val=""/>
      <w:lvlJc w:val="left"/>
      <w:pPr>
        <w:ind w:left="1995" w:hanging="360"/>
      </w:pPr>
      <w:rPr>
        <w:rFonts w:ascii="Symbol" w:hAnsi="Symbol" w:hint="default"/>
      </w:rPr>
    </w:lvl>
    <w:lvl w:ilvl="1" w:tplc="0C090003" w:tentative="1">
      <w:start w:val="1"/>
      <w:numFmt w:val="bullet"/>
      <w:lvlText w:val="o"/>
      <w:lvlJc w:val="left"/>
      <w:pPr>
        <w:ind w:left="2715" w:hanging="360"/>
      </w:pPr>
      <w:rPr>
        <w:rFonts w:ascii="Courier New" w:hAnsi="Courier New" w:cs="Courier New" w:hint="default"/>
      </w:rPr>
    </w:lvl>
    <w:lvl w:ilvl="2" w:tplc="0C090005" w:tentative="1">
      <w:start w:val="1"/>
      <w:numFmt w:val="bullet"/>
      <w:lvlText w:val=""/>
      <w:lvlJc w:val="left"/>
      <w:pPr>
        <w:ind w:left="3435" w:hanging="360"/>
      </w:pPr>
      <w:rPr>
        <w:rFonts w:ascii="Wingdings" w:hAnsi="Wingdings" w:hint="default"/>
      </w:rPr>
    </w:lvl>
    <w:lvl w:ilvl="3" w:tplc="0C090001" w:tentative="1">
      <w:start w:val="1"/>
      <w:numFmt w:val="bullet"/>
      <w:lvlText w:val=""/>
      <w:lvlJc w:val="left"/>
      <w:pPr>
        <w:ind w:left="4155" w:hanging="360"/>
      </w:pPr>
      <w:rPr>
        <w:rFonts w:ascii="Symbol" w:hAnsi="Symbol" w:hint="default"/>
      </w:rPr>
    </w:lvl>
    <w:lvl w:ilvl="4" w:tplc="0C090003" w:tentative="1">
      <w:start w:val="1"/>
      <w:numFmt w:val="bullet"/>
      <w:lvlText w:val="o"/>
      <w:lvlJc w:val="left"/>
      <w:pPr>
        <w:ind w:left="4875" w:hanging="360"/>
      </w:pPr>
      <w:rPr>
        <w:rFonts w:ascii="Courier New" w:hAnsi="Courier New" w:cs="Courier New" w:hint="default"/>
      </w:rPr>
    </w:lvl>
    <w:lvl w:ilvl="5" w:tplc="0C090005" w:tentative="1">
      <w:start w:val="1"/>
      <w:numFmt w:val="bullet"/>
      <w:lvlText w:val=""/>
      <w:lvlJc w:val="left"/>
      <w:pPr>
        <w:ind w:left="5595" w:hanging="360"/>
      </w:pPr>
      <w:rPr>
        <w:rFonts w:ascii="Wingdings" w:hAnsi="Wingdings" w:hint="default"/>
      </w:rPr>
    </w:lvl>
    <w:lvl w:ilvl="6" w:tplc="0C090001" w:tentative="1">
      <w:start w:val="1"/>
      <w:numFmt w:val="bullet"/>
      <w:lvlText w:val=""/>
      <w:lvlJc w:val="left"/>
      <w:pPr>
        <w:ind w:left="6315" w:hanging="360"/>
      </w:pPr>
      <w:rPr>
        <w:rFonts w:ascii="Symbol" w:hAnsi="Symbol" w:hint="default"/>
      </w:rPr>
    </w:lvl>
    <w:lvl w:ilvl="7" w:tplc="0C090003" w:tentative="1">
      <w:start w:val="1"/>
      <w:numFmt w:val="bullet"/>
      <w:lvlText w:val="o"/>
      <w:lvlJc w:val="left"/>
      <w:pPr>
        <w:ind w:left="7035" w:hanging="360"/>
      </w:pPr>
      <w:rPr>
        <w:rFonts w:ascii="Courier New" w:hAnsi="Courier New" w:cs="Courier New" w:hint="default"/>
      </w:rPr>
    </w:lvl>
    <w:lvl w:ilvl="8" w:tplc="0C090005" w:tentative="1">
      <w:start w:val="1"/>
      <w:numFmt w:val="bullet"/>
      <w:lvlText w:val=""/>
      <w:lvlJc w:val="left"/>
      <w:pPr>
        <w:ind w:left="7755" w:hanging="360"/>
      </w:pPr>
      <w:rPr>
        <w:rFonts w:ascii="Wingdings" w:hAnsi="Wingdings" w:hint="default"/>
      </w:rPr>
    </w:lvl>
  </w:abstractNum>
  <w:abstractNum w:abstractNumId="16" w15:restartNumberingAfterBreak="0">
    <w:nsid w:val="42EE71A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44FD5E2B"/>
    <w:multiLevelType w:val="hybridMultilevel"/>
    <w:tmpl w:val="3D68277E"/>
    <w:lvl w:ilvl="0" w:tplc="D4CE6D0E">
      <w:start w:val="1"/>
      <w:numFmt w:val="decimal"/>
      <w:pStyle w:val="Numberlist1"/>
      <w:lvlText w:val="%1."/>
      <w:lvlJc w:val="left"/>
      <w:pPr>
        <w:ind w:left="720" w:hanging="360"/>
      </w:pPr>
    </w:lvl>
    <w:lvl w:ilvl="1" w:tplc="B0AE8D0A">
      <w:start w:val="1"/>
      <w:numFmt w:val="lowerLetter"/>
      <w:pStyle w:val="Numberlist2"/>
      <w:lvlText w:val="%2."/>
      <w:lvlJc w:val="left"/>
      <w:pPr>
        <w:ind w:left="1440" w:hanging="360"/>
      </w:pPr>
    </w:lvl>
    <w:lvl w:ilvl="2" w:tplc="7CD8DECA">
      <w:start w:val="1"/>
      <w:numFmt w:val="lowerRoman"/>
      <w:pStyle w:val="Numberlist3"/>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546621CE"/>
    <w:multiLevelType w:val="multilevel"/>
    <w:tmpl w:val="E64C7EA2"/>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pStyle w:val="Heading6"/>
      <w:suff w:val="nothing"/>
      <w:lvlText w:val=""/>
      <w:lvlJc w:val="left"/>
      <w:pPr>
        <w:ind w:left="709" w:firstLine="0"/>
      </w:pPr>
      <w:rPr>
        <w:rFonts w:hint="default"/>
      </w:rPr>
    </w:lvl>
    <w:lvl w:ilvl="6">
      <w:start w:val="1"/>
      <w:numFmt w:val="none"/>
      <w:pStyle w:val="Heading7"/>
      <w:suff w:val="nothing"/>
      <w:lvlText w:val=""/>
      <w:lvlJc w:val="left"/>
      <w:pPr>
        <w:ind w:left="709" w:firstLine="0"/>
      </w:pPr>
      <w:rPr>
        <w:rFonts w:hint="default"/>
      </w:rPr>
    </w:lvl>
    <w:lvl w:ilvl="7">
      <w:start w:val="1"/>
      <w:numFmt w:val="none"/>
      <w:pStyle w:val="Heading8"/>
      <w:suff w:val="nothing"/>
      <w:lvlText w:val=""/>
      <w:lvlJc w:val="left"/>
      <w:pPr>
        <w:ind w:left="709" w:firstLine="0"/>
      </w:pPr>
      <w:rPr>
        <w:rFonts w:hint="default"/>
      </w:rPr>
    </w:lvl>
    <w:lvl w:ilvl="8">
      <w:start w:val="1"/>
      <w:numFmt w:val="none"/>
      <w:pStyle w:val="Heading9"/>
      <w:suff w:val="nothing"/>
      <w:lvlText w:val=""/>
      <w:lvlJc w:val="left"/>
      <w:pPr>
        <w:ind w:left="709" w:firstLine="0"/>
      </w:pPr>
      <w:rPr>
        <w:rFonts w:hint="default"/>
      </w:rPr>
    </w:lvl>
  </w:abstractNum>
  <w:abstractNum w:abstractNumId="20" w15:restartNumberingAfterBreak="0">
    <w:nsid w:val="60AB4897"/>
    <w:multiLevelType w:val="hybridMultilevel"/>
    <w:tmpl w:val="3CDAE068"/>
    <w:lvl w:ilvl="0" w:tplc="B1E09212">
      <w:start w:val="1"/>
      <w:numFmt w:val="decimal"/>
      <w:pStyle w:val="ListBullet"/>
      <w:lvlText w:val="%1."/>
      <w:lvlJc w:val="left"/>
      <w:pPr>
        <w:ind w:left="720" w:hanging="360"/>
      </w:pPr>
    </w:lvl>
    <w:lvl w:ilvl="1" w:tplc="3036D9C4">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3015693"/>
    <w:multiLevelType w:val="hybridMultilevel"/>
    <w:tmpl w:val="657E12A8"/>
    <w:lvl w:ilvl="0" w:tplc="0AFA59CA">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5077D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6699599C"/>
    <w:multiLevelType w:val="hybridMultilevel"/>
    <w:tmpl w:val="D5C46A08"/>
    <w:lvl w:ilvl="0" w:tplc="261C664C">
      <w:start w:val="1"/>
      <w:numFmt w:val="bullet"/>
      <w:pStyle w:val="Bulletforexecsummary"/>
      <w:lvlText w:val=""/>
      <w:lvlJc w:val="left"/>
      <w:pPr>
        <w:tabs>
          <w:tab w:val="num" w:pos="425"/>
        </w:tabs>
        <w:ind w:left="425" w:hanging="425"/>
      </w:pPr>
      <w:rPr>
        <w:rFonts w:ascii="Symbol" w:hAnsi="Symbol" w:hint="default"/>
        <w:color w:val="00315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1E7B70"/>
    <w:multiLevelType w:val="multilevel"/>
    <w:tmpl w:val="6958F48C"/>
    <w:lvl w:ilvl="0">
      <w:start w:val="1"/>
      <w:numFmt w:val="none"/>
      <w:pStyle w:val="TableText"/>
      <w:suff w:val="nothing"/>
      <w:lvlText w:val=""/>
      <w:lvlJc w:val="left"/>
      <w:pPr>
        <w:ind w:left="0" w:firstLine="0"/>
      </w:pPr>
      <w:rPr>
        <w:rFonts w:hint="default"/>
      </w:rPr>
    </w:lvl>
    <w:lvl w:ilvl="1">
      <w:start w:val="1"/>
      <w:numFmt w:val="decimal"/>
      <w:pStyle w:val="tabletextnumber"/>
      <w:lvlText w:val="%2."/>
      <w:lvlJc w:val="left"/>
      <w:pPr>
        <w:tabs>
          <w:tab w:val="num" w:pos="284"/>
        </w:tabs>
        <w:ind w:left="284" w:hanging="284"/>
      </w:pPr>
      <w:rPr>
        <w:rFonts w:hint="default"/>
      </w:rPr>
    </w:lvl>
    <w:lvl w:ilvl="2">
      <w:start w:val="1"/>
      <w:numFmt w:val="lowerLetter"/>
      <w:pStyle w:val="tabletextalpha"/>
      <w:lvlText w:val="%3."/>
      <w:lvlJc w:val="left"/>
      <w:pPr>
        <w:tabs>
          <w:tab w:val="num" w:pos="567"/>
        </w:tabs>
        <w:ind w:left="567" w:hanging="283"/>
      </w:pPr>
      <w:rPr>
        <w:rFonts w:hint="default"/>
      </w:rPr>
    </w:lvl>
    <w:lvl w:ilvl="3">
      <w:start w:val="1"/>
      <w:numFmt w:val="none"/>
      <w:lvlRestart w:val="0"/>
      <w:suff w:val="nothing"/>
      <w:lvlText w:val=""/>
      <w:lvlJc w:val="left"/>
      <w:pPr>
        <w:ind w:left="567" w:firstLine="0"/>
      </w:pPr>
      <w:rPr>
        <w:rFonts w:hint="default"/>
      </w:rPr>
    </w:lvl>
    <w:lvl w:ilvl="4">
      <w:start w:val="1"/>
      <w:numFmt w:val="none"/>
      <w:lvlRestart w:val="0"/>
      <w:suff w:val="nothing"/>
      <w:lvlText w:val=""/>
      <w:lvlJc w:val="left"/>
      <w:pPr>
        <w:ind w:left="567" w:firstLine="0"/>
      </w:pPr>
      <w:rPr>
        <w:rFonts w:hint="default"/>
      </w:rPr>
    </w:lvl>
    <w:lvl w:ilvl="5">
      <w:start w:val="1"/>
      <w:numFmt w:val="none"/>
      <w:lvlRestart w:val="0"/>
      <w:suff w:val="nothing"/>
      <w:lvlText w:val=""/>
      <w:lvlJc w:val="left"/>
      <w:pPr>
        <w:ind w:left="567" w:firstLine="0"/>
      </w:pPr>
      <w:rPr>
        <w:rFonts w:hint="default"/>
      </w:rPr>
    </w:lvl>
    <w:lvl w:ilvl="6">
      <w:start w:val="1"/>
      <w:numFmt w:val="none"/>
      <w:lvlRestart w:val="0"/>
      <w:suff w:val="nothing"/>
      <w:lvlText w:val="%7"/>
      <w:lvlJc w:val="left"/>
      <w:pPr>
        <w:ind w:left="567" w:firstLine="0"/>
      </w:pPr>
      <w:rPr>
        <w:rFonts w:hint="default"/>
      </w:rPr>
    </w:lvl>
    <w:lvl w:ilvl="7">
      <w:start w:val="1"/>
      <w:numFmt w:val="none"/>
      <w:lvlRestart w:val="0"/>
      <w:suff w:val="nothing"/>
      <w:lvlText w:val="%8"/>
      <w:lvlJc w:val="left"/>
      <w:pPr>
        <w:ind w:left="567" w:firstLine="0"/>
      </w:pPr>
      <w:rPr>
        <w:rFonts w:hint="default"/>
      </w:rPr>
    </w:lvl>
    <w:lvl w:ilvl="8">
      <w:start w:val="1"/>
      <w:numFmt w:val="none"/>
      <w:lvlRestart w:val="0"/>
      <w:suff w:val="nothing"/>
      <w:lvlText w:val="%9"/>
      <w:lvlJc w:val="left"/>
      <w:pPr>
        <w:ind w:left="567" w:firstLine="0"/>
      </w:pPr>
      <w:rPr>
        <w:rFonts w:hint="default"/>
      </w:rPr>
    </w:lvl>
  </w:abstractNum>
  <w:abstractNum w:abstractNumId="25" w15:restartNumberingAfterBreak="0">
    <w:nsid w:val="7A1C5473"/>
    <w:multiLevelType w:val="multilevel"/>
    <w:tmpl w:val="54629AE6"/>
    <w:lvl w:ilvl="0">
      <w:start w:val="1"/>
      <w:numFmt w:val="bullet"/>
      <w:pStyle w:val="Bulletcircle"/>
      <w:lvlText w:val=""/>
      <w:lvlJc w:val="left"/>
      <w:pPr>
        <w:tabs>
          <w:tab w:val="num" w:pos="1134"/>
        </w:tabs>
        <w:ind w:left="1134" w:hanging="425"/>
      </w:pPr>
      <w:rPr>
        <w:rFonts w:ascii="Symbol" w:hAnsi="Symbol" w:hint="default"/>
        <w:color w:val="00315F"/>
        <w:sz w:val="20"/>
        <w:szCs w:val="20"/>
      </w:rPr>
    </w:lvl>
    <w:lvl w:ilvl="1">
      <w:start w:val="1"/>
      <w:numFmt w:val="bullet"/>
      <w:pStyle w:val="Bulletdash"/>
      <w:lvlText w:val="–"/>
      <w:lvlJc w:val="left"/>
      <w:pPr>
        <w:tabs>
          <w:tab w:val="num" w:pos="1559"/>
        </w:tabs>
        <w:ind w:left="1559" w:hanging="425"/>
      </w:pPr>
      <w:rPr>
        <w:rFonts w:ascii="Arial" w:hAnsi="Arial" w:hint="default"/>
        <w:color w:val="2E526B"/>
      </w:rPr>
    </w:lvl>
    <w:lvl w:ilvl="2">
      <w:start w:val="1"/>
      <w:numFmt w:val="bullet"/>
      <w:pStyle w:val="Bulletopencircle"/>
      <w:lvlText w:val="▪"/>
      <w:lvlJc w:val="left"/>
      <w:pPr>
        <w:tabs>
          <w:tab w:val="num" w:pos="1985"/>
        </w:tabs>
        <w:ind w:left="1985" w:hanging="426"/>
      </w:pPr>
      <w:rPr>
        <w:rFonts w:ascii="Arial" w:hAnsi="Arial" w:hint="default"/>
        <w:color w:val="2E526B"/>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6" w15:restartNumberingAfterBreak="0">
    <w:nsid w:val="7AD92304"/>
    <w:multiLevelType w:val="multilevel"/>
    <w:tmpl w:val="CA64D8AA"/>
    <w:lvl w:ilvl="0">
      <w:start w:val="1"/>
      <w:numFmt w:val="bullet"/>
      <w:lvlText w:val=""/>
      <w:lvlJc w:val="left"/>
      <w:pPr>
        <w:tabs>
          <w:tab w:val="num" w:pos="1134"/>
        </w:tabs>
        <w:ind w:left="1134" w:hanging="425"/>
      </w:pPr>
      <w:rPr>
        <w:rFonts w:ascii="Symbol" w:hAnsi="Symbol" w:hint="default"/>
        <w:color w:val="00315F"/>
        <w:sz w:val="20"/>
        <w:szCs w:val="20"/>
      </w:rPr>
    </w:lvl>
    <w:lvl w:ilvl="1">
      <w:start w:val="1"/>
      <w:numFmt w:val="bullet"/>
      <w:lvlText w:val="–"/>
      <w:lvlJc w:val="left"/>
      <w:pPr>
        <w:tabs>
          <w:tab w:val="num" w:pos="1559"/>
        </w:tabs>
        <w:ind w:left="1559" w:hanging="425"/>
      </w:pPr>
      <w:rPr>
        <w:rFonts w:ascii="Arial" w:hAnsi="Arial" w:hint="default"/>
        <w:color w:val="2E526B"/>
      </w:rPr>
    </w:lvl>
    <w:lvl w:ilvl="2">
      <w:start w:val="1"/>
      <w:numFmt w:val="bullet"/>
      <w:pStyle w:val="Bullet3"/>
      <w:lvlText w:val="◦"/>
      <w:lvlJc w:val="left"/>
      <w:pPr>
        <w:tabs>
          <w:tab w:val="num" w:pos="1985"/>
        </w:tabs>
        <w:ind w:left="1985" w:hanging="426"/>
      </w:pPr>
      <w:rPr>
        <w:rFonts w:ascii="Arial" w:hAnsi="Arial" w:hint="default"/>
        <w:color w:val="auto"/>
      </w:rPr>
    </w:lvl>
    <w:lvl w:ilvl="3">
      <w:start w:val="1"/>
      <w:numFmt w:val="none"/>
      <w:suff w:val="nothing"/>
      <w:lvlText w:val="%4"/>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16"/>
  </w:num>
  <w:num w:numId="11">
    <w:abstractNumId w:val="13"/>
  </w:num>
  <w:num w:numId="12">
    <w:abstractNumId w:val="22"/>
  </w:num>
  <w:num w:numId="13">
    <w:abstractNumId w:val="14"/>
  </w:num>
  <w:num w:numId="14">
    <w:abstractNumId w:val="24"/>
  </w:num>
  <w:num w:numId="15">
    <w:abstractNumId w:val="23"/>
  </w:num>
  <w:num w:numId="16">
    <w:abstractNumId w:val="25"/>
  </w:num>
  <w:num w:numId="17">
    <w:abstractNumId w:val="19"/>
  </w:num>
  <w:num w:numId="18">
    <w:abstractNumId w:val="9"/>
  </w:num>
  <w:num w:numId="19">
    <w:abstractNumId w:val="10"/>
  </w:num>
  <w:num w:numId="20">
    <w:abstractNumId w:val="26"/>
  </w:num>
  <w:num w:numId="21">
    <w:abstractNumId w:val="11"/>
  </w:num>
  <w:num w:numId="22">
    <w:abstractNumId w:val="20"/>
  </w:num>
  <w:num w:numId="23">
    <w:abstractNumId w:val="17"/>
  </w:num>
  <w:num w:numId="24">
    <w:abstractNumId w:val="21"/>
  </w:num>
  <w:num w:numId="25">
    <w:abstractNumId w:val="15"/>
  </w:num>
  <w:num w:numId="26">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7CA"/>
    <w:rsid w:val="00010D0B"/>
    <w:rsid w:val="00013A6E"/>
    <w:rsid w:val="00023993"/>
    <w:rsid w:val="0003232D"/>
    <w:rsid w:val="000373DC"/>
    <w:rsid w:val="00045ECF"/>
    <w:rsid w:val="00055798"/>
    <w:rsid w:val="000624E0"/>
    <w:rsid w:val="000658E9"/>
    <w:rsid w:val="00067AC8"/>
    <w:rsid w:val="00076AFC"/>
    <w:rsid w:val="000852D2"/>
    <w:rsid w:val="00094C82"/>
    <w:rsid w:val="000971C7"/>
    <w:rsid w:val="000B13CF"/>
    <w:rsid w:val="000B62BB"/>
    <w:rsid w:val="000C0B75"/>
    <w:rsid w:val="000C6C12"/>
    <w:rsid w:val="000D158A"/>
    <w:rsid w:val="000D5487"/>
    <w:rsid w:val="000E2C15"/>
    <w:rsid w:val="000E4CEE"/>
    <w:rsid w:val="000E5D3E"/>
    <w:rsid w:val="000E655A"/>
    <w:rsid w:val="000F03BA"/>
    <w:rsid w:val="000F159E"/>
    <w:rsid w:val="00102AC2"/>
    <w:rsid w:val="001348ED"/>
    <w:rsid w:val="00137934"/>
    <w:rsid w:val="00142BBB"/>
    <w:rsid w:val="00143885"/>
    <w:rsid w:val="00145E41"/>
    <w:rsid w:val="00150A2F"/>
    <w:rsid w:val="001548C7"/>
    <w:rsid w:val="0015571E"/>
    <w:rsid w:val="00161EDA"/>
    <w:rsid w:val="00162518"/>
    <w:rsid w:val="0016317D"/>
    <w:rsid w:val="0017064B"/>
    <w:rsid w:val="00176B29"/>
    <w:rsid w:val="00181374"/>
    <w:rsid w:val="00191E69"/>
    <w:rsid w:val="00192F10"/>
    <w:rsid w:val="0019483B"/>
    <w:rsid w:val="001A239C"/>
    <w:rsid w:val="001B02EA"/>
    <w:rsid w:val="001B130F"/>
    <w:rsid w:val="001B45D5"/>
    <w:rsid w:val="001B7DE2"/>
    <w:rsid w:val="001C3407"/>
    <w:rsid w:val="001C5E18"/>
    <w:rsid w:val="001C7971"/>
    <w:rsid w:val="001D0AB4"/>
    <w:rsid w:val="001D0B3B"/>
    <w:rsid w:val="001E0EEF"/>
    <w:rsid w:val="001E4E73"/>
    <w:rsid w:val="001F5F67"/>
    <w:rsid w:val="001F5F8B"/>
    <w:rsid w:val="002071CB"/>
    <w:rsid w:val="00213943"/>
    <w:rsid w:val="00217165"/>
    <w:rsid w:val="0022094E"/>
    <w:rsid w:val="00230ABD"/>
    <w:rsid w:val="00237DA5"/>
    <w:rsid w:val="00250E15"/>
    <w:rsid w:val="00251BA2"/>
    <w:rsid w:val="00262BC5"/>
    <w:rsid w:val="002714BB"/>
    <w:rsid w:val="00280BC6"/>
    <w:rsid w:val="00282E8A"/>
    <w:rsid w:val="00294748"/>
    <w:rsid w:val="00296E03"/>
    <w:rsid w:val="002A49E3"/>
    <w:rsid w:val="002A69A8"/>
    <w:rsid w:val="002B014A"/>
    <w:rsid w:val="002B4138"/>
    <w:rsid w:val="002C4084"/>
    <w:rsid w:val="002E5DE8"/>
    <w:rsid w:val="002F118D"/>
    <w:rsid w:val="002F77AE"/>
    <w:rsid w:val="0031308B"/>
    <w:rsid w:val="0031375B"/>
    <w:rsid w:val="003147B4"/>
    <w:rsid w:val="00321AFA"/>
    <w:rsid w:val="00333BC4"/>
    <w:rsid w:val="00335B2D"/>
    <w:rsid w:val="003436FE"/>
    <w:rsid w:val="0034633D"/>
    <w:rsid w:val="00371AD6"/>
    <w:rsid w:val="003759A6"/>
    <w:rsid w:val="00384FEB"/>
    <w:rsid w:val="0039642A"/>
    <w:rsid w:val="00396DF4"/>
    <w:rsid w:val="003A26F6"/>
    <w:rsid w:val="003A5399"/>
    <w:rsid w:val="003B1F14"/>
    <w:rsid w:val="003B1F45"/>
    <w:rsid w:val="003B5C4B"/>
    <w:rsid w:val="003C3A7F"/>
    <w:rsid w:val="003D06B1"/>
    <w:rsid w:val="003D2B38"/>
    <w:rsid w:val="003E716D"/>
    <w:rsid w:val="003E735F"/>
    <w:rsid w:val="003F0240"/>
    <w:rsid w:val="003F3430"/>
    <w:rsid w:val="003F4D98"/>
    <w:rsid w:val="003F622F"/>
    <w:rsid w:val="00402910"/>
    <w:rsid w:val="00407D8F"/>
    <w:rsid w:val="00425443"/>
    <w:rsid w:val="0043476B"/>
    <w:rsid w:val="00446E17"/>
    <w:rsid w:val="00465527"/>
    <w:rsid w:val="004766CA"/>
    <w:rsid w:val="00485DEE"/>
    <w:rsid w:val="004A6FEB"/>
    <w:rsid w:val="004B14A0"/>
    <w:rsid w:val="004C22CB"/>
    <w:rsid w:val="004C694F"/>
    <w:rsid w:val="004D353E"/>
    <w:rsid w:val="004D3880"/>
    <w:rsid w:val="004D63D6"/>
    <w:rsid w:val="004F0A9A"/>
    <w:rsid w:val="004F3D74"/>
    <w:rsid w:val="00503B8B"/>
    <w:rsid w:val="00506597"/>
    <w:rsid w:val="005070CB"/>
    <w:rsid w:val="00527E24"/>
    <w:rsid w:val="0053138B"/>
    <w:rsid w:val="00537EA2"/>
    <w:rsid w:val="005452FB"/>
    <w:rsid w:val="00556F49"/>
    <w:rsid w:val="00560E74"/>
    <w:rsid w:val="00567318"/>
    <w:rsid w:val="00571312"/>
    <w:rsid w:val="005713A7"/>
    <w:rsid w:val="005750A7"/>
    <w:rsid w:val="005757D8"/>
    <w:rsid w:val="005866FC"/>
    <w:rsid w:val="00591588"/>
    <w:rsid w:val="00592E24"/>
    <w:rsid w:val="005A54F1"/>
    <w:rsid w:val="005A5F28"/>
    <w:rsid w:val="005A68C1"/>
    <w:rsid w:val="005B3086"/>
    <w:rsid w:val="005D65A5"/>
    <w:rsid w:val="005E5065"/>
    <w:rsid w:val="005E7B99"/>
    <w:rsid w:val="005F34B3"/>
    <w:rsid w:val="0060136A"/>
    <w:rsid w:val="00601AFD"/>
    <w:rsid w:val="00610FC6"/>
    <w:rsid w:val="00611131"/>
    <w:rsid w:val="00616B01"/>
    <w:rsid w:val="00625A55"/>
    <w:rsid w:val="006334ED"/>
    <w:rsid w:val="006364EA"/>
    <w:rsid w:val="0064176D"/>
    <w:rsid w:val="00641A40"/>
    <w:rsid w:val="00647D16"/>
    <w:rsid w:val="00650D7A"/>
    <w:rsid w:val="006517B2"/>
    <w:rsid w:val="00653A37"/>
    <w:rsid w:val="00656672"/>
    <w:rsid w:val="00663D57"/>
    <w:rsid w:val="00676FEE"/>
    <w:rsid w:val="00677657"/>
    <w:rsid w:val="00677B28"/>
    <w:rsid w:val="00680847"/>
    <w:rsid w:val="00683E19"/>
    <w:rsid w:val="006910B3"/>
    <w:rsid w:val="006A4F21"/>
    <w:rsid w:val="006B22B2"/>
    <w:rsid w:val="006B2302"/>
    <w:rsid w:val="006B4CFD"/>
    <w:rsid w:val="006B6233"/>
    <w:rsid w:val="006C7A5F"/>
    <w:rsid w:val="006C7E44"/>
    <w:rsid w:val="006D5D95"/>
    <w:rsid w:val="006E37B9"/>
    <w:rsid w:val="006F41C6"/>
    <w:rsid w:val="006F77F7"/>
    <w:rsid w:val="00700472"/>
    <w:rsid w:val="00700F1D"/>
    <w:rsid w:val="00702C47"/>
    <w:rsid w:val="00705373"/>
    <w:rsid w:val="00706A30"/>
    <w:rsid w:val="0072013F"/>
    <w:rsid w:val="00732CBB"/>
    <w:rsid w:val="00732EC2"/>
    <w:rsid w:val="00733482"/>
    <w:rsid w:val="00735CBD"/>
    <w:rsid w:val="007361B7"/>
    <w:rsid w:val="007416A3"/>
    <w:rsid w:val="00742E5B"/>
    <w:rsid w:val="00743696"/>
    <w:rsid w:val="007449DC"/>
    <w:rsid w:val="0074781B"/>
    <w:rsid w:val="00750113"/>
    <w:rsid w:val="00754C94"/>
    <w:rsid w:val="00754F1F"/>
    <w:rsid w:val="007575A4"/>
    <w:rsid w:val="007659E1"/>
    <w:rsid w:val="00766CCB"/>
    <w:rsid w:val="00785E82"/>
    <w:rsid w:val="00785F19"/>
    <w:rsid w:val="007861C3"/>
    <w:rsid w:val="00793E52"/>
    <w:rsid w:val="007A041B"/>
    <w:rsid w:val="007A1E0A"/>
    <w:rsid w:val="007A3856"/>
    <w:rsid w:val="007A7BB8"/>
    <w:rsid w:val="007B1A97"/>
    <w:rsid w:val="007C0FBB"/>
    <w:rsid w:val="007C5ED8"/>
    <w:rsid w:val="007D23D6"/>
    <w:rsid w:val="007D572A"/>
    <w:rsid w:val="007E6A6E"/>
    <w:rsid w:val="007F5483"/>
    <w:rsid w:val="00831408"/>
    <w:rsid w:val="00831C20"/>
    <w:rsid w:val="008328EC"/>
    <w:rsid w:val="00835906"/>
    <w:rsid w:val="008363A1"/>
    <w:rsid w:val="0083743C"/>
    <w:rsid w:val="00846079"/>
    <w:rsid w:val="00850195"/>
    <w:rsid w:val="008519A0"/>
    <w:rsid w:val="008667CA"/>
    <w:rsid w:val="008730F0"/>
    <w:rsid w:val="008876B7"/>
    <w:rsid w:val="008952B9"/>
    <w:rsid w:val="008959E0"/>
    <w:rsid w:val="008A6272"/>
    <w:rsid w:val="008B322D"/>
    <w:rsid w:val="008C052A"/>
    <w:rsid w:val="008C3B96"/>
    <w:rsid w:val="008C406A"/>
    <w:rsid w:val="008C689D"/>
    <w:rsid w:val="008C68F5"/>
    <w:rsid w:val="008E1070"/>
    <w:rsid w:val="008E196C"/>
    <w:rsid w:val="008E3100"/>
    <w:rsid w:val="008E63BF"/>
    <w:rsid w:val="008F0DF8"/>
    <w:rsid w:val="008F468B"/>
    <w:rsid w:val="008F6567"/>
    <w:rsid w:val="008F77FB"/>
    <w:rsid w:val="0090257C"/>
    <w:rsid w:val="009039E0"/>
    <w:rsid w:val="009123BB"/>
    <w:rsid w:val="009142A2"/>
    <w:rsid w:val="00916A2F"/>
    <w:rsid w:val="00920865"/>
    <w:rsid w:val="009445A0"/>
    <w:rsid w:val="009534F0"/>
    <w:rsid w:val="009570C4"/>
    <w:rsid w:val="009653D8"/>
    <w:rsid w:val="009702EA"/>
    <w:rsid w:val="00973DE6"/>
    <w:rsid w:val="009755F7"/>
    <w:rsid w:val="00975EF3"/>
    <w:rsid w:val="009773A9"/>
    <w:rsid w:val="00984041"/>
    <w:rsid w:val="009855EB"/>
    <w:rsid w:val="009A5B89"/>
    <w:rsid w:val="009C04C0"/>
    <w:rsid w:val="009C52CF"/>
    <w:rsid w:val="009C589D"/>
    <w:rsid w:val="009D1A88"/>
    <w:rsid w:val="009D2237"/>
    <w:rsid w:val="009D233D"/>
    <w:rsid w:val="009D3F26"/>
    <w:rsid w:val="009D7129"/>
    <w:rsid w:val="009E22E2"/>
    <w:rsid w:val="009E4138"/>
    <w:rsid w:val="009F00D3"/>
    <w:rsid w:val="009F289E"/>
    <w:rsid w:val="009F6F5D"/>
    <w:rsid w:val="009F7209"/>
    <w:rsid w:val="00A03E05"/>
    <w:rsid w:val="00A049F6"/>
    <w:rsid w:val="00A17977"/>
    <w:rsid w:val="00A17D34"/>
    <w:rsid w:val="00A23244"/>
    <w:rsid w:val="00A2418A"/>
    <w:rsid w:val="00A37179"/>
    <w:rsid w:val="00A4289A"/>
    <w:rsid w:val="00A42F6E"/>
    <w:rsid w:val="00A46C31"/>
    <w:rsid w:val="00A5303F"/>
    <w:rsid w:val="00A565FA"/>
    <w:rsid w:val="00A61C5B"/>
    <w:rsid w:val="00A62083"/>
    <w:rsid w:val="00A71094"/>
    <w:rsid w:val="00A74A36"/>
    <w:rsid w:val="00A920B8"/>
    <w:rsid w:val="00A950AC"/>
    <w:rsid w:val="00A95B77"/>
    <w:rsid w:val="00AA4489"/>
    <w:rsid w:val="00AA49F7"/>
    <w:rsid w:val="00AA772E"/>
    <w:rsid w:val="00AB1085"/>
    <w:rsid w:val="00AC03F1"/>
    <w:rsid w:val="00AC46E8"/>
    <w:rsid w:val="00AC787F"/>
    <w:rsid w:val="00AD0A26"/>
    <w:rsid w:val="00AD3D11"/>
    <w:rsid w:val="00AD6087"/>
    <w:rsid w:val="00AE6D7D"/>
    <w:rsid w:val="00AF4AF7"/>
    <w:rsid w:val="00AF55DD"/>
    <w:rsid w:val="00B12183"/>
    <w:rsid w:val="00B12296"/>
    <w:rsid w:val="00B155B4"/>
    <w:rsid w:val="00B21214"/>
    <w:rsid w:val="00B23AA9"/>
    <w:rsid w:val="00B25278"/>
    <w:rsid w:val="00B30BCE"/>
    <w:rsid w:val="00B31FA8"/>
    <w:rsid w:val="00B34784"/>
    <w:rsid w:val="00B44DAE"/>
    <w:rsid w:val="00B5132B"/>
    <w:rsid w:val="00B53029"/>
    <w:rsid w:val="00B62A7A"/>
    <w:rsid w:val="00B70BAE"/>
    <w:rsid w:val="00B7315F"/>
    <w:rsid w:val="00B767E0"/>
    <w:rsid w:val="00B9565F"/>
    <w:rsid w:val="00B97C38"/>
    <w:rsid w:val="00BA1B72"/>
    <w:rsid w:val="00BB2720"/>
    <w:rsid w:val="00BB41D1"/>
    <w:rsid w:val="00BB472B"/>
    <w:rsid w:val="00BD0119"/>
    <w:rsid w:val="00BD0C70"/>
    <w:rsid w:val="00BD48E2"/>
    <w:rsid w:val="00BE083C"/>
    <w:rsid w:val="00BE120B"/>
    <w:rsid w:val="00BE460E"/>
    <w:rsid w:val="00BF083E"/>
    <w:rsid w:val="00BF4985"/>
    <w:rsid w:val="00BF62D8"/>
    <w:rsid w:val="00BF6FA0"/>
    <w:rsid w:val="00C0176B"/>
    <w:rsid w:val="00C02707"/>
    <w:rsid w:val="00C03CF2"/>
    <w:rsid w:val="00C04112"/>
    <w:rsid w:val="00C21003"/>
    <w:rsid w:val="00C314B4"/>
    <w:rsid w:val="00C4004B"/>
    <w:rsid w:val="00C400B3"/>
    <w:rsid w:val="00C40C29"/>
    <w:rsid w:val="00C43C82"/>
    <w:rsid w:val="00C4432A"/>
    <w:rsid w:val="00C61919"/>
    <w:rsid w:val="00C72637"/>
    <w:rsid w:val="00C80CC4"/>
    <w:rsid w:val="00CA23BE"/>
    <w:rsid w:val="00CA30A2"/>
    <w:rsid w:val="00CA72BA"/>
    <w:rsid w:val="00CA79F6"/>
    <w:rsid w:val="00CB5ADB"/>
    <w:rsid w:val="00CB7AFA"/>
    <w:rsid w:val="00CC7907"/>
    <w:rsid w:val="00D025ED"/>
    <w:rsid w:val="00D03743"/>
    <w:rsid w:val="00D1459E"/>
    <w:rsid w:val="00D16D58"/>
    <w:rsid w:val="00D23DDF"/>
    <w:rsid w:val="00D24DDF"/>
    <w:rsid w:val="00D34416"/>
    <w:rsid w:val="00D35B3E"/>
    <w:rsid w:val="00D40D58"/>
    <w:rsid w:val="00D431C0"/>
    <w:rsid w:val="00D4635A"/>
    <w:rsid w:val="00D545BE"/>
    <w:rsid w:val="00D56714"/>
    <w:rsid w:val="00D65970"/>
    <w:rsid w:val="00D74334"/>
    <w:rsid w:val="00D751D9"/>
    <w:rsid w:val="00D76875"/>
    <w:rsid w:val="00D7711E"/>
    <w:rsid w:val="00D771C1"/>
    <w:rsid w:val="00D8192C"/>
    <w:rsid w:val="00D826F2"/>
    <w:rsid w:val="00D8464E"/>
    <w:rsid w:val="00D97333"/>
    <w:rsid w:val="00DA01C9"/>
    <w:rsid w:val="00DA0BD7"/>
    <w:rsid w:val="00DB10DB"/>
    <w:rsid w:val="00DB5961"/>
    <w:rsid w:val="00DD27BE"/>
    <w:rsid w:val="00DD2812"/>
    <w:rsid w:val="00DD4464"/>
    <w:rsid w:val="00DE6BBA"/>
    <w:rsid w:val="00DF11B9"/>
    <w:rsid w:val="00DF1E5F"/>
    <w:rsid w:val="00DF617A"/>
    <w:rsid w:val="00E03F78"/>
    <w:rsid w:val="00E21617"/>
    <w:rsid w:val="00E21E6F"/>
    <w:rsid w:val="00E322F0"/>
    <w:rsid w:val="00E37019"/>
    <w:rsid w:val="00E45264"/>
    <w:rsid w:val="00E55257"/>
    <w:rsid w:val="00E622C0"/>
    <w:rsid w:val="00E6416D"/>
    <w:rsid w:val="00E64BAF"/>
    <w:rsid w:val="00E77924"/>
    <w:rsid w:val="00E81F59"/>
    <w:rsid w:val="00E839CE"/>
    <w:rsid w:val="00E91DDC"/>
    <w:rsid w:val="00E92294"/>
    <w:rsid w:val="00E928EA"/>
    <w:rsid w:val="00E97B21"/>
    <w:rsid w:val="00EA2A20"/>
    <w:rsid w:val="00EA2B80"/>
    <w:rsid w:val="00EA4627"/>
    <w:rsid w:val="00EA6654"/>
    <w:rsid w:val="00EB54D2"/>
    <w:rsid w:val="00ED3E28"/>
    <w:rsid w:val="00ED6D99"/>
    <w:rsid w:val="00ED727B"/>
    <w:rsid w:val="00EE390B"/>
    <w:rsid w:val="00EE550E"/>
    <w:rsid w:val="00EE5E12"/>
    <w:rsid w:val="00EE74F6"/>
    <w:rsid w:val="00EF2086"/>
    <w:rsid w:val="00EF4261"/>
    <w:rsid w:val="00F048EC"/>
    <w:rsid w:val="00F05A09"/>
    <w:rsid w:val="00F14A7C"/>
    <w:rsid w:val="00F21697"/>
    <w:rsid w:val="00F34819"/>
    <w:rsid w:val="00F4173F"/>
    <w:rsid w:val="00F4551C"/>
    <w:rsid w:val="00F70F35"/>
    <w:rsid w:val="00F805E1"/>
    <w:rsid w:val="00F80D99"/>
    <w:rsid w:val="00F8116C"/>
    <w:rsid w:val="00F818D6"/>
    <w:rsid w:val="00F91A78"/>
    <w:rsid w:val="00F92DD8"/>
    <w:rsid w:val="00FA52B9"/>
    <w:rsid w:val="00FA6C1E"/>
    <w:rsid w:val="00FB1547"/>
    <w:rsid w:val="00FB5186"/>
    <w:rsid w:val="00FC066D"/>
    <w:rsid w:val="00FC1E4A"/>
    <w:rsid w:val="00FC64FF"/>
    <w:rsid w:val="00FD1DE8"/>
    <w:rsid w:val="00FE77A9"/>
    <w:rsid w:val="00FF3DF4"/>
    <w:rsid w:val="00FF3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0241"/>
    <o:shapelayout v:ext="edit">
      <o:idmap v:ext="edit" data="1"/>
    </o:shapelayout>
  </w:shapeDefaults>
  <w:decimalSymbol w:val="."/>
  <w:listSeparator w:val=","/>
  <w15:docId w15:val="{FCE90DFF-BFAC-4A8A-8581-FBC39ED1D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766CCB"/>
    <w:pPr>
      <w:spacing w:before="110" w:line="280" w:lineRule="atLeast"/>
      <w:ind w:left="709"/>
    </w:pPr>
    <w:rPr>
      <w:rFonts w:ascii="Arial" w:hAnsi="Arial"/>
      <w:sz w:val="22"/>
      <w:lang w:eastAsia="en-US"/>
    </w:rPr>
  </w:style>
  <w:style w:type="paragraph" w:styleId="Heading1">
    <w:name w:val="heading 1"/>
    <w:next w:val="BodyText"/>
    <w:link w:val="Heading1Char"/>
    <w:autoRedefine/>
    <w:qFormat/>
    <w:rsid w:val="00B12183"/>
    <w:pPr>
      <w:keepNext/>
      <w:numPr>
        <w:numId w:val="17"/>
      </w:numPr>
      <w:shd w:val="clear" w:color="auto" w:fill="FFFFFF"/>
      <w:spacing w:before="400" w:after="140"/>
      <w:outlineLvl w:val="0"/>
    </w:pPr>
    <w:rPr>
      <w:rFonts w:ascii="Arial" w:hAnsi="Arial" w:cs="Arial"/>
      <w:b/>
      <w:bCs/>
      <w:color w:val="336699"/>
      <w:sz w:val="36"/>
    </w:rPr>
  </w:style>
  <w:style w:type="paragraph" w:styleId="Heading2">
    <w:name w:val="heading 2"/>
    <w:basedOn w:val="Heading1"/>
    <w:next w:val="BodyText"/>
    <w:link w:val="Heading2Char"/>
    <w:autoRedefine/>
    <w:qFormat/>
    <w:rsid w:val="001B7DE2"/>
    <w:pPr>
      <w:numPr>
        <w:ilvl w:val="1"/>
      </w:numPr>
      <w:shd w:val="clear" w:color="auto" w:fill="auto"/>
      <w:spacing w:before="320" w:after="100"/>
      <w:outlineLvl w:val="1"/>
    </w:pPr>
    <w:rPr>
      <w:bCs w:val="0"/>
      <w:color w:val="5F5F5F"/>
      <w:sz w:val="28"/>
    </w:rPr>
  </w:style>
  <w:style w:type="paragraph" w:styleId="Heading3">
    <w:name w:val="heading 3"/>
    <w:basedOn w:val="Heading2"/>
    <w:next w:val="BodyText"/>
    <w:link w:val="Heading3Char"/>
    <w:autoRedefine/>
    <w:qFormat/>
    <w:rsid w:val="00CA23BE"/>
    <w:pPr>
      <w:numPr>
        <w:ilvl w:val="2"/>
      </w:numPr>
      <w:spacing w:before="280" w:after="80"/>
      <w:outlineLvl w:val="2"/>
    </w:pPr>
    <w:rPr>
      <w:color w:val="auto"/>
      <w:kern w:val="24"/>
      <w:sz w:val="22"/>
      <w:szCs w:val="24"/>
    </w:rPr>
  </w:style>
  <w:style w:type="paragraph" w:styleId="Heading4">
    <w:name w:val="heading 4"/>
    <w:basedOn w:val="Heading3"/>
    <w:next w:val="BodyText"/>
    <w:autoRedefine/>
    <w:qFormat/>
    <w:rsid w:val="006517B2"/>
    <w:pPr>
      <w:keepLines/>
      <w:numPr>
        <w:ilvl w:val="0"/>
        <w:numId w:val="0"/>
      </w:numPr>
      <w:spacing w:before="260" w:after="70"/>
      <w:ind w:left="709"/>
      <w:outlineLvl w:val="3"/>
    </w:pPr>
    <w:rPr>
      <w:i/>
      <w:szCs w:val="22"/>
      <w:lang w:val="en-US"/>
    </w:rPr>
  </w:style>
  <w:style w:type="paragraph" w:styleId="Heading5">
    <w:name w:val="heading 5"/>
    <w:basedOn w:val="Heading4"/>
    <w:next w:val="BodyText"/>
    <w:autoRedefine/>
    <w:qFormat/>
    <w:rsid w:val="007D23D6"/>
    <w:pPr>
      <w:numPr>
        <w:ilvl w:val="4"/>
      </w:numPr>
      <w:spacing w:before="220" w:after="40"/>
      <w:ind w:left="709"/>
      <w:outlineLvl w:val="4"/>
    </w:pPr>
    <w:rPr>
      <w:b w:val="0"/>
    </w:rPr>
  </w:style>
  <w:style w:type="paragraph" w:styleId="Heading6">
    <w:name w:val="heading 6"/>
    <w:basedOn w:val="BodyText"/>
    <w:next w:val="BodyText"/>
    <w:rsid w:val="0003232D"/>
    <w:pPr>
      <w:keepNext/>
      <w:keepLines/>
      <w:numPr>
        <w:ilvl w:val="5"/>
        <w:numId w:val="17"/>
      </w:numPr>
      <w:outlineLvl w:val="5"/>
    </w:pPr>
    <w:rPr>
      <w:lang w:val="en-US"/>
    </w:rPr>
  </w:style>
  <w:style w:type="paragraph" w:styleId="Heading7">
    <w:name w:val="heading 7"/>
    <w:basedOn w:val="BodyText"/>
    <w:next w:val="BodyText"/>
    <w:rsid w:val="0003232D"/>
    <w:pPr>
      <w:numPr>
        <w:ilvl w:val="6"/>
        <w:numId w:val="17"/>
      </w:numPr>
      <w:jc w:val="both"/>
      <w:outlineLvl w:val="6"/>
    </w:pPr>
    <w:rPr>
      <w:snapToGrid w:val="0"/>
      <w:kern w:val="28"/>
      <w:szCs w:val="22"/>
      <w:lang w:val="en-GB" w:eastAsia="en-US"/>
    </w:rPr>
  </w:style>
  <w:style w:type="paragraph" w:styleId="Heading8">
    <w:name w:val="heading 8"/>
    <w:basedOn w:val="BodyText"/>
    <w:next w:val="BodyText"/>
    <w:rsid w:val="0003232D"/>
    <w:pPr>
      <w:numPr>
        <w:ilvl w:val="7"/>
        <w:numId w:val="17"/>
      </w:numPr>
      <w:jc w:val="both"/>
      <w:outlineLvl w:val="7"/>
    </w:pPr>
    <w:rPr>
      <w:snapToGrid w:val="0"/>
      <w:kern w:val="28"/>
      <w:szCs w:val="22"/>
      <w:lang w:val="en-GB" w:eastAsia="en-US"/>
    </w:rPr>
  </w:style>
  <w:style w:type="paragraph" w:styleId="Heading9">
    <w:name w:val="heading 9"/>
    <w:basedOn w:val="BodyText"/>
    <w:next w:val="BodyText"/>
    <w:rsid w:val="0003232D"/>
    <w:pPr>
      <w:numPr>
        <w:ilvl w:val="8"/>
        <w:numId w:val="17"/>
      </w:numPr>
      <w:jc w:val="both"/>
      <w:outlineLvl w:val="8"/>
    </w:pPr>
    <w:rPr>
      <w:snapToGrid w:val="0"/>
      <w:kern w:val="28"/>
      <w:szCs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semiHidden/>
    <w:rsid w:val="00F34819"/>
    <w:pPr>
      <w:shd w:val="clear" w:color="auto" w:fill="000080"/>
    </w:pPr>
    <w:rPr>
      <w:rFonts w:ascii="Arial" w:hAnsi="Arial" w:cs="Tahoma"/>
      <w:sz w:val="18"/>
    </w:rPr>
  </w:style>
  <w:style w:type="paragraph" w:customStyle="1" w:styleId="Frontpagetitle">
    <w:name w:val="Front page title"/>
    <w:semiHidden/>
    <w:rsid w:val="00CB7AFA"/>
    <w:pPr>
      <w:spacing w:before="720"/>
      <w:jc w:val="right"/>
    </w:pPr>
    <w:rPr>
      <w:rFonts w:ascii="Arial" w:hAnsi="Arial"/>
      <w:b/>
      <w:noProof/>
      <w:sz w:val="56"/>
    </w:rPr>
  </w:style>
  <w:style w:type="character" w:customStyle="1" w:styleId="Securityclassification">
    <w:name w:val="Security classification"/>
    <w:semiHidden/>
    <w:rsid w:val="00650D7A"/>
    <w:rPr>
      <w:color w:val="FF0000"/>
    </w:rPr>
  </w:style>
  <w:style w:type="paragraph" w:customStyle="1" w:styleId="Footerred">
    <w:name w:val="Footer red"/>
    <w:basedOn w:val="Footer"/>
    <w:semiHidden/>
    <w:rsid w:val="00161EDA"/>
    <w:rPr>
      <w:caps/>
      <w:color w:val="FF0000"/>
      <w:sz w:val="16"/>
    </w:rPr>
  </w:style>
  <w:style w:type="paragraph" w:customStyle="1" w:styleId="TableText">
    <w:name w:val="Table Text"/>
    <w:basedOn w:val="BodyText"/>
    <w:rsid w:val="001C3407"/>
    <w:pPr>
      <w:numPr>
        <w:numId w:val="14"/>
      </w:numPr>
      <w:spacing w:before="60" w:after="60" w:line="260" w:lineRule="atLeast"/>
    </w:pPr>
    <w:rPr>
      <w:iCs/>
      <w:kern w:val="28"/>
      <w:sz w:val="20"/>
      <w:lang w:eastAsia="en-US"/>
    </w:rPr>
  </w:style>
  <w:style w:type="character" w:customStyle="1" w:styleId="Reporttitle">
    <w:name w:val="Report title"/>
    <w:semiHidden/>
    <w:rsid w:val="00CA23BE"/>
    <w:rPr>
      <w:rFonts w:ascii="Arial" w:hAnsi="Arial"/>
      <w:b/>
      <w:color w:val="auto"/>
      <w:sz w:val="52"/>
    </w:rPr>
  </w:style>
  <w:style w:type="character" w:customStyle="1" w:styleId="Reportdate">
    <w:name w:val="Report date"/>
    <w:semiHidden/>
    <w:rsid w:val="00CA23BE"/>
    <w:rPr>
      <w:rFonts w:ascii="Arial" w:hAnsi="Arial"/>
      <w:b/>
      <w:color w:val="013861"/>
      <w:sz w:val="22"/>
    </w:rPr>
  </w:style>
  <w:style w:type="character" w:customStyle="1" w:styleId="Versionnumber">
    <w:name w:val="Version number"/>
    <w:semiHidden/>
    <w:rsid w:val="00537EA2"/>
    <w:rPr>
      <w:rFonts w:ascii="Arial" w:hAnsi="Arial"/>
      <w:b/>
      <w:color w:val="013861"/>
      <w:sz w:val="22"/>
    </w:rPr>
  </w:style>
  <w:style w:type="paragraph" w:customStyle="1" w:styleId="TableHeading">
    <w:name w:val="Table Heading"/>
    <w:basedOn w:val="TableText"/>
    <w:rsid w:val="00CA23BE"/>
    <w:pPr>
      <w:numPr>
        <w:numId w:val="0"/>
      </w:numPr>
    </w:pPr>
    <w:rPr>
      <w:color w:val="FFFFFF"/>
      <w:sz w:val="22"/>
      <w:szCs w:val="22"/>
    </w:rPr>
  </w:style>
  <w:style w:type="paragraph" w:customStyle="1" w:styleId="Blankline">
    <w:name w:val="Blank line"/>
    <w:next w:val="BodyText"/>
    <w:link w:val="BlanklineCharChar"/>
    <w:rsid w:val="00143885"/>
    <w:pPr>
      <w:widowControl w:val="0"/>
    </w:pPr>
    <w:rPr>
      <w:rFonts w:ascii="Arial" w:hAnsi="Arial"/>
      <w:sz w:val="12"/>
    </w:rPr>
  </w:style>
  <w:style w:type="character" w:customStyle="1" w:styleId="BlanklineCharChar">
    <w:name w:val="Blank line Char Char"/>
    <w:link w:val="Blankline"/>
    <w:rsid w:val="00143885"/>
    <w:rPr>
      <w:rFonts w:ascii="Arial" w:hAnsi="Arial"/>
      <w:sz w:val="12"/>
      <w:lang w:val="en-AU" w:eastAsia="en-AU" w:bidi="ar-SA"/>
    </w:rPr>
  </w:style>
  <w:style w:type="paragraph" w:styleId="BodyText">
    <w:name w:val="Body Text"/>
    <w:link w:val="BodyTextChar"/>
    <w:uiPriority w:val="99"/>
    <w:rsid w:val="006517B2"/>
    <w:pPr>
      <w:spacing w:before="110" w:line="280" w:lineRule="atLeast"/>
      <w:ind w:left="709"/>
    </w:pPr>
    <w:rPr>
      <w:rFonts w:ascii="Arial" w:hAnsi="Arial"/>
      <w:sz w:val="22"/>
    </w:rPr>
  </w:style>
  <w:style w:type="paragraph" w:customStyle="1" w:styleId="Frontpagesubtitle">
    <w:name w:val="Front page subtitle"/>
    <w:basedOn w:val="Frontpagetitle"/>
    <w:semiHidden/>
    <w:rsid w:val="00CB7AFA"/>
    <w:pPr>
      <w:spacing w:before="0"/>
      <w:ind w:right="-108"/>
    </w:pPr>
    <w:rPr>
      <w:i/>
      <w:sz w:val="28"/>
    </w:rPr>
  </w:style>
  <w:style w:type="character" w:styleId="CommentReference">
    <w:name w:val="annotation reference"/>
    <w:semiHidden/>
    <w:rsid w:val="006D5D95"/>
    <w:rPr>
      <w:sz w:val="16"/>
      <w:szCs w:val="16"/>
    </w:rPr>
  </w:style>
  <w:style w:type="paragraph" w:styleId="CommentSubject">
    <w:name w:val="annotation subject"/>
    <w:basedOn w:val="CommentText"/>
    <w:next w:val="CommentText"/>
    <w:semiHidden/>
    <w:rsid w:val="006D5D95"/>
    <w:rPr>
      <w:b/>
      <w:bCs/>
    </w:rPr>
  </w:style>
  <w:style w:type="paragraph" w:styleId="BalloonText">
    <w:name w:val="Balloon Text"/>
    <w:basedOn w:val="Normal"/>
    <w:semiHidden/>
    <w:rsid w:val="006D5D95"/>
    <w:rPr>
      <w:rFonts w:ascii="Tahoma" w:hAnsi="Tahoma" w:cs="Tahoma"/>
      <w:sz w:val="16"/>
      <w:szCs w:val="16"/>
    </w:rPr>
  </w:style>
  <w:style w:type="paragraph" w:customStyle="1" w:styleId="Heading1nonumber">
    <w:name w:val="Heading 1 no number"/>
    <w:basedOn w:val="Heading1"/>
    <w:next w:val="Bodystylefordocumentdetails"/>
    <w:link w:val="Heading1nonumberChar"/>
    <w:rsid w:val="00DF617A"/>
    <w:pPr>
      <w:numPr>
        <w:numId w:val="0"/>
      </w:numPr>
      <w:outlineLvl w:val="9"/>
    </w:pPr>
  </w:style>
  <w:style w:type="paragraph" w:customStyle="1" w:styleId="Bullet-Numbered">
    <w:name w:val="Bullet - Numbered"/>
    <w:basedOn w:val="BodyText"/>
    <w:rsid w:val="00E21E6F"/>
    <w:pPr>
      <w:numPr>
        <w:ilvl w:val="1"/>
      </w:numPr>
      <w:spacing w:before="40" w:after="40"/>
      <w:ind w:left="709"/>
    </w:pPr>
    <w:rPr>
      <w:rFonts w:cs="Times New (W1)"/>
      <w:snapToGrid w:val="0"/>
      <w:szCs w:val="24"/>
      <w:lang w:eastAsia="en-US"/>
    </w:rPr>
  </w:style>
  <w:style w:type="paragraph" w:customStyle="1" w:styleId="TableTextitalics">
    <w:name w:val="Table Text italics"/>
    <w:basedOn w:val="TableText"/>
    <w:semiHidden/>
    <w:rsid w:val="00F34819"/>
    <w:rPr>
      <w:i/>
    </w:rPr>
  </w:style>
  <w:style w:type="paragraph" w:customStyle="1" w:styleId="Appendix1">
    <w:name w:val="Appendix 1"/>
    <w:basedOn w:val="Heading1nonumber"/>
    <w:next w:val="BodyText"/>
    <w:link w:val="Appendix1Char"/>
    <w:rsid w:val="001C3407"/>
    <w:pPr>
      <w:pageBreakBefore/>
      <w:numPr>
        <w:numId w:val="13"/>
      </w:numPr>
      <w:tabs>
        <w:tab w:val="clear" w:pos="1701"/>
        <w:tab w:val="num" w:pos="360"/>
        <w:tab w:val="left" w:pos="2268"/>
      </w:tabs>
      <w:ind w:left="2268" w:hanging="2268"/>
      <w:outlineLvl w:val="0"/>
    </w:pPr>
    <w:rPr>
      <w:szCs w:val="28"/>
    </w:rPr>
  </w:style>
  <w:style w:type="paragraph" w:customStyle="1" w:styleId="Appendix2">
    <w:name w:val="Appendix 2"/>
    <w:basedOn w:val="Heading2"/>
    <w:next w:val="BodyText"/>
    <w:link w:val="Appendix2Char"/>
    <w:rsid w:val="00D35B3E"/>
    <w:pPr>
      <w:numPr>
        <w:numId w:val="13"/>
      </w:numPr>
    </w:pPr>
  </w:style>
  <w:style w:type="paragraph" w:customStyle="1" w:styleId="Appendix3">
    <w:name w:val="Appendix 3"/>
    <w:basedOn w:val="Heading3"/>
    <w:next w:val="BodyText"/>
    <w:link w:val="Appendix3Char"/>
    <w:rsid w:val="00D35B3E"/>
    <w:pPr>
      <w:numPr>
        <w:numId w:val="13"/>
      </w:numPr>
    </w:pPr>
  </w:style>
  <w:style w:type="paragraph" w:customStyle="1" w:styleId="Appendix4">
    <w:name w:val="Appendix 4"/>
    <w:basedOn w:val="Appendix3"/>
    <w:next w:val="BodyText"/>
    <w:link w:val="Appendix4Char"/>
    <w:semiHidden/>
    <w:rsid w:val="00C4432A"/>
    <w:pPr>
      <w:numPr>
        <w:ilvl w:val="3"/>
      </w:numPr>
    </w:pPr>
    <w:rPr>
      <w:b w:val="0"/>
      <w:i/>
      <w:lang w:val="en-US"/>
    </w:rPr>
  </w:style>
  <w:style w:type="paragraph" w:customStyle="1" w:styleId="Bulletcircle">
    <w:name w:val="Bullet circle"/>
    <w:basedOn w:val="BodyText"/>
    <w:link w:val="BulletcircleChar"/>
    <w:rsid w:val="00045ECF"/>
    <w:pPr>
      <w:numPr>
        <w:numId w:val="16"/>
      </w:numPr>
      <w:spacing w:before="40" w:after="40"/>
    </w:pPr>
    <w:rPr>
      <w:szCs w:val="22"/>
    </w:rPr>
  </w:style>
  <w:style w:type="paragraph" w:customStyle="1" w:styleId="Bulletdash">
    <w:name w:val="Bullet dash"/>
    <w:basedOn w:val="BodyText"/>
    <w:link w:val="BulletdashChar"/>
    <w:rsid w:val="00045ECF"/>
    <w:pPr>
      <w:numPr>
        <w:ilvl w:val="1"/>
        <w:numId w:val="16"/>
      </w:numPr>
      <w:spacing w:before="40" w:after="40"/>
    </w:pPr>
    <w:rPr>
      <w:szCs w:val="22"/>
    </w:rPr>
  </w:style>
  <w:style w:type="paragraph" w:customStyle="1" w:styleId="Bulletopencircle">
    <w:name w:val="Bullet open circle"/>
    <w:basedOn w:val="BodyText"/>
    <w:link w:val="BulletopencircleChar"/>
    <w:rsid w:val="00045ECF"/>
    <w:pPr>
      <w:numPr>
        <w:ilvl w:val="2"/>
        <w:numId w:val="16"/>
      </w:numPr>
      <w:spacing w:before="40" w:after="40"/>
    </w:pPr>
    <w:rPr>
      <w:szCs w:val="22"/>
    </w:rPr>
  </w:style>
  <w:style w:type="paragraph" w:styleId="Footer">
    <w:name w:val="footer"/>
    <w:basedOn w:val="Header"/>
    <w:semiHidden/>
    <w:rsid w:val="00ED3E28"/>
    <w:pPr>
      <w:pBdr>
        <w:top w:val="single" w:sz="4" w:space="3" w:color="auto"/>
        <w:bottom w:val="none" w:sz="0" w:space="0" w:color="auto"/>
      </w:pBdr>
      <w:tabs>
        <w:tab w:val="clear" w:pos="4153"/>
        <w:tab w:val="clear" w:pos="8306"/>
        <w:tab w:val="center" w:pos="4820"/>
        <w:tab w:val="right" w:pos="9639"/>
      </w:tabs>
      <w:jc w:val="both"/>
    </w:pPr>
    <w:rPr>
      <w:snapToGrid w:val="0"/>
      <w:kern w:val="28"/>
      <w:szCs w:val="16"/>
      <w:lang w:eastAsia="en-US"/>
    </w:rPr>
  </w:style>
  <w:style w:type="paragraph" w:styleId="Header">
    <w:name w:val="header"/>
    <w:basedOn w:val="BodyText"/>
    <w:rsid w:val="00CA23BE"/>
    <w:pPr>
      <w:pBdr>
        <w:bottom w:val="single" w:sz="4" w:space="1" w:color="auto"/>
      </w:pBdr>
      <w:tabs>
        <w:tab w:val="center" w:pos="4153"/>
        <w:tab w:val="right" w:pos="8306"/>
      </w:tabs>
      <w:spacing w:before="0" w:line="240" w:lineRule="auto"/>
      <w:ind w:left="0"/>
    </w:pPr>
    <w:rPr>
      <w:sz w:val="18"/>
      <w:szCs w:val="22"/>
    </w:rPr>
  </w:style>
  <w:style w:type="paragraph" w:customStyle="1" w:styleId="Tablebulletcircle">
    <w:name w:val="Table bullet circle"/>
    <w:basedOn w:val="TableText"/>
    <w:rsid w:val="00045ECF"/>
    <w:pPr>
      <w:numPr>
        <w:numId w:val="18"/>
      </w:numPr>
      <w:spacing w:before="40" w:after="40"/>
    </w:pPr>
    <w:rPr>
      <w:szCs w:val="22"/>
      <w:lang w:eastAsia="en-AU"/>
    </w:rPr>
  </w:style>
  <w:style w:type="paragraph" w:customStyle="1" w:styleId="Tablebulletdash">
    <w:name w:val="Table bullet dash"/>
    <w:basedOn w:val="TableText"/>
    <w:rsid w:val="00045ECF"/>
    <w:pPr>
      <w:numPr>
        <w:ilvl w:val="1"/>
        <w:numId w:val="18"/>
      </w:numPr>
      <w:spacing w:before="40" w:after="40"/>
    </w:pPr>
    <w:rPr>
      <w:szCs w:val="22"/>
    </w:rPr>
  </w:style>
  <w:style w:type="paragraph" w:styleId="Title">
    <w:name w:val="Title"/>
    <w:basedOn w:val="Normal"/>
    <w:rsid w:val="00F34819"/>
    <w:pPr>
      <w:tabs>
        <w:tab w:val="num" w:pos="720"/>
      </w:tabs>
      <w:suppressAutoHyphens/>
      <w:spacing w:before="240" w:after="60"/>
      <w:ind w:left="720" w:hanging="360"/>
      <w:jc w:val="center"/>
    </w:pPr>
    <w:rPr>
      <w:smallCaps/>
      <w:kern w:val="28"/>
      <w:sz w:val="32"/>
      <w:lang w:val="en-GB"/>
    </w:rPr>
  </w:style>
  <w:style w:type="paragraph" w:styleId="TOC1">
    <w:name w:val="toc 1"/>
    <w:next w:val="Normal"/>
    <w:uiPriority w:val="39"/>
    <w:rsid w:val="001C3407"/>
    <w:pPr>
      <w:tabs>
        <w:tab w:val="left" w:pos="567"/>
        <w:tab w:val="left" w:pos="1418"/>
        <w:tab w:val="right" w:leader="dot" w:pos="9629"/>
      </w:tabs>
      <w:spacing w:before="240" w:after="60"/>
      <w:ind w:left="567" w:right="567" w:hanging="567"/>
    </w:pPr>
    <w:rPr>
      <w:rFonts w:ascii="Arial" w:hAnsi="Arial"/>
      <w:b/>
      <w:noProof/>
      <w:snapToGrid w:val="0"/>
      <w:kern w:val="24"/>
      <w:sz w:val="22"/>
    </w:rPr>
  </w:style>
  <w:style w:type="paragraph" w:styleId="TOC2">
    <w:name w:val="toc 2"/>
    <w:basedOn w:val="Normal"/>
    <w:next w:val="Normal"/>
    <w:autoRedefine/>
    <w:uiPriority w:val="39"/>
    <w:rsid w:val="001C3407"/>
    <w:pPr>
      <w:tabs>
        <w:tab w:val="left" w:pos="1134"/>
        <w:tab w:val="right" w:leader="dot" w:pos="9629"/>
      </w:tabs>
      <w:spacing w:after="60"/>
      <w:ind w:left="1134" w:right="567" w:hanging="567"/>
      <w:jc w:val="both"/>
    </w:pPr>
    <w:rPr>
      <w:noProof/>
      <w:snapToGrid w:val="0"/>
      <w:kern w:val="24"/>
    </w:rPr>
  </w:style>
  <w:style w:type="paragraph" w:styleId="TOC3">
    <w:name w:val="toc 3"/>
    <w:basedOn w:val="Normal"/>
    <w:next w:val="Normal"/>
    <w:autoRedefine/>
    <w:semiHidden/>
    <w:rsid w:val="006C7A5F"/>
    <w:pPr>
      <w:tabs>
        <w:tab w:val="left" w:pos="1980"/>
        <w:tab w:val="right" w:leader="dot" w:pos="9629"/>
      </w:tabs>
      <w:spacing w:after="60"/>
      <w:ind w:left="1980" w:hanging="846"/>
      <w:jc w:val="both"/>
    </w:pPr>
    <w:rPr>
      <w:noProof/>
      <w:snapToGrid w:val="0"/>
      <w:kern w:val="24"/>
    </w:rPr>
  </w:style>
  <w:style w:type="character" w:styleId="Hyperlink">
    <w:name w:val="Hyperlink"/>
    <w:uiPriority w:val="99"/>
    <w:rsid w:val="00571312"/>
    <w:rPr>
      <w:color w:val="0000FF"/>
      <w:u w:val="single"/>
    </w:rPr>
  </w:style>
  <w:style w:type="paragraph" w:styleId="TOC4">
    <w:name w:val="toc 4"/>
    <w:basedOn w:val="Normal"/>
    <w:next w:val="Normal"/>
    <w:autoRedefine/>
    <w:semiHidden/>
    <w:rsid w:val="00571312"/>
    <w:pPr>
      <w:tabs>
        <w:tab w:val="left" w:pos="1134"/>
        <w:tab w:val="left" w:pos="2977"/>
        <w:tab w:val="right" w:leader="dot" w:pos="9629"/>
      </w:tabs>
      <w:ind w:left="1985"/>
      <w:jc w:val="both"/>
    </w:pPr>
    <w:rPr>
      <w:smallCaps/>
      <w:snapToGrid w:val="0"/>
      <w:kern w:val="28"/>
    </w:rPr>
  </w:style>
  <w:style w:type="paragraph" w:styleId="TOC5">
    <w:name w:val="toc 5"/>
    <w:basedOn w:val="Normal"/>
    <w:next w:val="Normal"/>
    <w:autoRedefine/>
    <w:semiHidden/>
    <w:rsid w:val="00571312"/>
    <w:pPr>
      <w:ind w:left="960"/>
    </w:pPr>
  </w:style>
  <w:style w:type="paragraph" w:styleId="TOC6">
    <w:name w:val="toc 6"/>
    <w:basedOn w:val="Normal"/>
    <w:next w:val="Normal"/>
    <w:autoRedefine/>
    <w:semiHidden/>
    <w:rsid w:val="00571312"/>
    <w:pPr>
      <w:ind w:left="1200"/>
    </w:pPr>
  </w:style>
  <w:style w:type="paragraph" w:styleId="TOC7">
    <w:name w:val="toc 7"/>
    <w:basedOn w:val="Normal"/>
    <w:next w:val="Normal"/>
    <w:autoRedefine/>
    <w:semiHidden/>
    <w:rsid w:val="00571312"/>
    <w:pPr>
      <w:ind w:left="1440"/>
    </w:pPr>
  </w:style>
  <w:style w:type="paragraph" w:styleId="TOC8">
    <w:name w:val="toc 8"/>
    <w:basedOn w:val="Normal"/>
    <w:next w:val="Normal"/>
    <w:autoRedefine/>
    <w:semiHidden/>
    <w:rsid w:val="00571312"/>
    <w:pPr>
      <w:ind w:left="1680"/>
    </w:pPr>
  </w:style>
  <w:style w:type="paragraph" w:styleId="TOC9">
    <w:name w:val="toc 9"/>
    <w:basedOn w:val="Normal"/>
    <w:next w:val="Normal"/>
    <w:autoRedefine/>
    <w:semiHidden/>
    <w:rsid w:val="00571312"/>
    <w:pPr>
      <w:ind w:left="1920"/>
    </w:pPr>
  </w:style>
  <w:style w:type="paragraph" w:styleId="Caption">
    <w:name w:val="caption"/>
    <w:basedOn w:val="BodyText"/>
    <w:next w:val="BodyText"/>
    <w:autoRedefine/>
    <w:qFormat/>
    <w:rsid w:val="00AB1085"/>
    <w:pPr>
      <w:spacing w:before="220" w:after="330" w:line="260" w:lineRule="atLeast"/>
    </w:pPr>
    <w:rPr>
      <w:bCs/>
      <w:sz w:val="18"/>
    </w:rPr>
  </w:style>
  <w:style w:type="numbering" w:styleId="111111">
    <w:name w:val="Outline List 2"/>
    <w:basedOn w:val="NoList"/>
    <w:semiHidden/>
    <w:rsid w:val="007E6A6E"/>
    <w:pPr>
      <w:numPr>
        <w:numId w:val="10"/>
      </w:numPr>
    </w:pPr>
  </w:style>
  <w:style w:type="numbering" w:styleId="1ai">
    <w:name w:val="Outline List 1"/>
    <w:basedOn w:val="NoList"/>
    <w:semiHidden/>
    <w:rsid w:val="007E6A6E"/>
    <w:pPr>
      <w:numPr>
        <w:numId w:val="11"/>
      </w:numPr>
    </w:pPr>
  </w:style>
  <w:style w:type="numbering" w:styleId="ArticleSection">
    <w:name w:val="Outline List 3"/>
    <w:basedOn w:val="NoList"/>
    <w:semiHidden/>
    <w:rsid w:val="007E6A6E"/>
    <w:pPr>
      <w:numPr>
        <w:numId w:val="12"/>
      </w:numPr>
    </w:pPr>
  </w:style>
  <w:style w:type="paragraph" w:styleId="BlockText">
    <w:name w:val="Block Text"/>
    <w:basedOn w:val="Normal"/>
    <w:semiHidden/>
    <w:rsid w:val="007E6A6E"/>
    <w:pPr>
      <w:spacing w:after="120"/>
      <w:ind w:left="1440" w:right="1440"/>
    </w:pPr>
  </w:style>
  <w:style w:type="paragraph" w:styleId="BodyText2">
    <w:name w:val="Body Text 2"/>
    <w:basedOn w:val="Normal"/>
    <w:semiHidden/>
    <w:rsid w:val="007E6A6E"/>
    <w:pPr>
      <w:spacing w:after="120" w:line="480" w:lineRule="auto"/>
    </w:pPr>
  </w:style>
  <w:style w:type="paragraph" w:styleId="BodyText3">
    <w:name w:val="Body Text 3"/>
    <w:basedOn w:val="Normal"/>
    <w:semiHidden/>
    <w:rsid w:val="007E6A6E"/>
    <w:pPr>
      <w:spacing w:after="120"/>
    </w:pPr>
    <w:rPr>
      <w:sz w:val="16"/>
      <w:szCs w:val="16"/>
    </w:rPr>
  </w:style>
  <w:style w:type="paragraph" w:styleId="BodyTextFirstIndent">
    <w:name w:val="Body Text First Indent"/>
    <w:basedOn w:val="Normal"/>
    <w:semiHidden/>
    <w:rsid w:val="0064176D"/>
    <w:pPr>
      <w:ind w:firstLine="210"/>
    </w:pPr>
  </w:style>
  <w:style w:type="paragraph" w:styleId="BodyTextIndent">
    <w:name w:val="Body Text Indent"/>
    <w:basedOn w:val="BodyText"/>
    <w:rsid w:val="0015571E"/>
    <w:pPr>
      <w:ind w:left="1134"/>
    </w:pPr>
  </w:style>
  <w:style w:type="paragraph" w:styleId="BodyTextFirstIndent2">
    <w:name w:val="Body Text First Indent 2"/>
    <w:basedOn w:val="BodyTextIndent"/>
    <w:semiHidden/>
    <w:rsid w:val="007E6A6E"/>
    <w:pPr>
      <w:ind w:firstLine="210"/>
    </w:pPr>
  </w:style>
  <w:style w:type="paragraph" w:styleId="BodyTextIndent2">
    <w:name w:val="Body Text Indent 2"/>
    <w:basedOn w:val="Normal"/>
    <w:semiHidden/>
    <w:rsid w:val="007E6A6E"/>
    <w:pPr>
      <w:spacing w:after="120" w:line="480" w:lineRule="auto"/>
      <w:ind w:left="283"/>
    </w:pPr>
  </w:style>
  <w:style w:type="paragraph" w:styleId="BodyTextIndent3">
    <w:name w:val="Body Text Indent 3"/>
    <w:basedOn w:val="Normal"/>
    <w:semiHidden/>
    <w:rsid w:val="007E6A6E"/>
    <w:pPr>
      <w:spacing w:after="120"/>
      <w:ind w:left="283"/>
    </w:pPr>
    <w:rPr>
      <w:sz w:val="16"/>
      <w:szCs w:val="16"/>
    </w:rPr>
  </w:style>
  <w:style w:type="paragraph" w:styleId="Closing">
    <w:name w:val="Closing"/>
    <w:basedOn w:val="Normal"/>
    <w:semiHidden/>
    <w:rsid w:val="007E6A6E"/>
    <w:pPr>
      <w:ind w:left="4252"/>
    </w:pPr>
  </w:style>
  <w:style w:type="paragraph" w:styleId="CommentText">
    <w:name w:val="annotation text"/>
    <w:basedOn w:val="Normal"/>
    <w:semiHidden/>
    <w:rsid w:val="007E6A6E"/>
  </w:style>
  <w:style w:type="paragraph" w:styleId="Date">
    <w:name w:val="Date"/>
    <w:basedOn w:val="Normal"/>
    <w:next w:val="Normal"/>
    <w:semiHidden/>
    <w:rsid w:val="00CA23BE"/>
  </w:style>
  <w:style w:type="paragraph" w:styleId="E-mailSignature">
    <w:name w:val="E-mail Signature"/>
    <w:basedOn w:val="Normal"/>
    <w:semiHidden/>
    <w:rsid w:val="007E6A6E"/>
  </w:style>
  <w:style w:type="character" w:styleId="Emphasis">
    <w:name w:val="Emphasis"/>
    <w:uiPriority w:val="20"/>
    <w:qFormat/>
    <w:rsid w:val="007E6A6E"/>
    <w:rPr>
      <w:i/>
      <w:iCs/>
    </w:rPr>
  </w:style>
  <w:style w:type="paragraph" w:styleId="EnvelopeAddress">
    <w:name w:val="envelope address"/>
    <w:basedOn w:val="Normal"/>
    <w:semiHidden/>
    <w:rsid w:val="007E6A6E"/>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7E6A6E"/>
    <w:rPr>
      <w:rFonts w:cs="Arial"/>
    </w:rPr>
  </w:style>
  <w:style w:type="character" w:styleId="FollowedHyperlink">
    <w:name w:val="FollowedHyperlink"/>
    <w:semiHidden/>
    <w:rsid w:val="007E6A6E"/>
    <w:rPr>
      <w:color w:val="800080"/>
      <w:u w:val="single"/>
    </w:rPr>
  </w:style>
  <w:style w:type="character" w:styleId="FootnoteReference">
    <w:name w:val="footnote reference"/>
    <w:semiHidden/>
    <w:rsid w:val="007E6A6E"/>
    <w:rPr>
      <w:vertAlign w:val="superscript"/>
    </w:rPr>
  </w:style>
  <w:style w:type="paragraph" w:styleId="FootnoteText">
    <w:name w:val="footnote text"/>
    <w:basedOn w:val="BodyText"/>
    <w:semiHidden/>
    <w:rsid w:val="00F92DD8"/>
    <w:pPr>
      <w:spacing w:after="60" w:line="240" w:lineRule="auto"/>
      <w:ind w:left="0"/>
    </w:pPr>
    <w:rPr>
      <w:sz w:val="18"/>
    </w:rPr>
  </w:style>
  <w:style w:type="character" w:styleId="HTMLAcronym">
    <w:name w:val="HTML Acronym"/>
    <w:basedOn w:val="DefaultParagraphFont"/>
    <w:semiHidden/>
    <w:rsid w:val="007E6A6E"/>
  </w:style>
  <w:style w:type="paragraph" w:styleId="HTMLAddress">
    <w:name w:val="HTML Address"/>
    <w:basedOn w:val="Normal"/>
    <w:semiHidden/>
    <w:rsid w:val="007E6A6E"/>
    <w:rPr>
      <w:i/>
      <w:iCs/>
    </w:rPr>
  </w:style>
  <w:style w:type="character" w:styleId="HTMLCite">
    <w:name w:val="HTML Cite"/>
    <w:semiHidden/>
    <w:rsid w:val="007E6A6E"/>
    <w:rPr>
      <w:i/>
      <w:iCs/>
    </w:rPr>
  </w:style>
  <w:style w:type="character" w:styleId="HTMLCode">
    <w:name w:val="HTML Code"/>
    <w:semiHidden/>
    <w:rsid w:val="007E6A6E"/>
    <w:rPr>
      <w:rFonts w:ascii="Courier New" w:hAnsi="Courier New" w:cs="Courier New"/>
      <w:sz w:val="20"/>
      <w:szCs w:val="20"/>
    </w:rPr>
  </w:style>
  <w:style w:type="character" w:styleId="HTMLDefinition">
    <w:name w:val="HTML Definition"/>
    <w:semiHidden/>
    <w:rsid w:val="007E6A6E"/>
    <w:rPr>
      <w:i/>
      <w:iCs/>
    </w:rPr>
  </w:style>
  <w:style w:type="character" w:styleId="HTMLKeyboard">
    <w:name w:val="HTML Keyboard"/>
    <w:semiHidden/>
    <w:rsid w:val="007E6A6E"/>
    <w:rPr>
      <w:rFonts w:ascii="Courier New" w:hAnsi="Courier New" w:cs="Courier New"/>
      <w:sz w:val="20"/>
      <w:szCs w:val="20"/>
    </w:rPr>
  </w:style>
  <w:style w:type="paragraph" w:styleId="HTMLPreformatted">
    <w:name w:val="HTML Preformatted"/>
    <w:basedOn w:val="Normal"/>
    <w:semiHidden/>
    <w:rsid w:val="007E6A6E"/>
    <w:rPr>
      <w:rFonts w:ascii="Courier New" w:hAnsi="Courier New" w:cs="Courier New"/>
    </w:rPr>
  </w:style>
  <w:style w:type="character" w:styleId="HTMLSample">
    <w:name w:val="HTML Sample"/>
    <w:semiHidden/>
    <w:rsid w:val="007E6A6E"/>
    <w:rPr>
      <w:rFonts w:ascii="Courier New" w:hAnsi="Courier New" w:cs="Courier New"/>
    </w:rPr>
  </w:style>
  <w:style w:type="character" w:styleId="HTMLTypewriter">
    <w:name w:val="HTML Typewriter"/>
    <w:semiHidden/>
    <w:rsid w:val="007E6A6E"/>
    <w:rPr>
      <w:rFonts w:ascii="Courier New" w:hAnsi="Courier New" w:cs="Courier New"/>
      <w:sz w:val="20"/>
      <w:szCs w:val="20"/>
    </w:rPr>
  </w:style>
  <w:style w:type="character" w:styleId="HTMLVariable">
    <w:name w:val="HTML Variable"/>
    <w:semiHidden/>
    <w:rsid w:val="007E6A6E"/>
    <w:rPr>
      <w:i/>
      <w:iCs/>
    </w:rPr>
  </w:style>
  <w:style w:type="character" w:styleId="LineNumber">
    <w:name w:val="line number"/>
    <w:basedOn w:val="DefaultParagraphFont"/>
    <w:semiHidden/>
    <w:rsid w:val="007E6A6E"/>
  </w:style>
  <w:style w:type="paragraph" w:styleId="List">
    <w:name w:val="List"/>
    <w:basedOn w:val="Normal"/>
    <w:semiHidden/>
    <w:rsid w:val="007E6A6E"/>
    <w:pPr>
      <w:ind w:left="283" w:hanging="283"/>
    </w:pPr>
  </w:style>
  <w:style w:type="paragraph" w:styleId="List2">
    <w:name w:val="List 2"/>
    <w:basedOn w:val="Normal"/>
    <w:semiHidden/>
    <w:rsid w:val="007E6A6E"/>
    <w:pPr>
      <w:ind w:left="566" w:hanging="283"/>
    </w:pPr>
  </w:style>
  <w:style w:type="paragraph" w:styleId="List3">
    <w:name w:val="List 3"/>
    <w:basedOn w:val="Normal"/>
    <w:semiHidden/>
    <w:rsid w:val="007E6A6E"/>
    <w:pPr>
      <w:ind w:left="849" w:hanging="283"/>
    </w:pPr>
  </w:style>
  <w:style w:type="paragraph" w:styleId="List4">
    <w:name w:val="List 4"/>
    <w:basedOn w:val="Normal"/>
    <w:semiHidden/>
    <w:rsid w:val="007E6A6E"/>
    <w:pPr>
      <w:ind w:left="1132" w:hanging="283"/>
    </w:pPr>
  </w:style>
  <w:style w:type="paragraph" w:styleId="List5">
    <w:name w:val="List 5"/>
    <w:basedOn w:val="Normal"/>
    <w:semiHidden/>
    <w:rsid w:val="007E6A6E"/>
    <w:pPr>
      <w:ind w:left="1415" w:hanging="283"/>
    </w:pPr>
  </w:style>
  <w:style w:type="paragraph" w:styleId="ListBullet">
    <w:name w:val="List Bullet"/>
    <w:basedOn w:val="Normal"/>
    <w:autoRedefine/>
    <w:rsid w:val="00AF55DD"/>
    <w:pPr>
      <w:numPr>
        <w:numId w:val="22"/>
      </w:numPr>
      <w:ind w:left="1134" w:hanging="425"/>
    </w:pPr>
  </w:style>
  <w:style w:type="paragraph" w:styleId="ListBullet2">
    <w:name w:val="List Bullet 2"/>
    <w:basedOn w:val="Normal"/>
    <w:autoRedefine/>
    <w:rsid w:val="007E6A6E"/>
    <w:pPr>
      <w:numPr>
        <w:numId w:val="1"/>
      </w:numPr>
    </w:pPr>
  </w:style>
  <w:style w:type="paragraph" w:styleId="ListBullet3">
    <w:name w:val="List Bullet 3"/>
    <w:basedOn w:val="Normal"/>
    <w:autoRedefine/>
    <w:rsid w:val="007E6A6E"/>
    <w:pPr>
      <w:numPr>
        <w:numId w:val="2"/>
      </w:numPr>
    </w:pPr>
  </w:style>
  <w:style w:type="paragraph" w:styleId="ListBullet4">
    <w:name w:val="List Bullet 4"/>
    <w:basedOn w:val="Normal"/>
    <w:autoRedefine/>
    <w:rsid w:val="007E6A6E"/>
    <w:pPr>
      <w:numPr>
        <w:numId w:val="3"/>
      </w:numPr>
    </w:pPr>
  </w:style>
  <w:style w:type="paragraph" w:styleId="ListBullet5">
    <w:name w:val="List Bullet 5"/>
    <w:basedOn w:val="Normal"/>
    <w:autoRedefine/>
    <w:rsid w:val="007E6A6E"/>
    <w:pPr>
      <w:numPr>
        <w:numId w:val="4"/>
      </w:numPr>
    </w:pPr>
  </w:style>
  <w:style w:type="paragraph" w:styleId="ListContinue">
    <w:name w:val="List Continue"/>
    <w:basedOn w:val="Normal"/>
    <w:semiHidden/>
    <w:rsid w:val="007E6A6E"/>
    <w:pPr>
      <w:spacing w:after="120"/>
      <w:ind w:left="283"/>
    </w:pPr>
  </w:style>
  <w:style w:type="paragraph" w:styleId="ListContinue2">
    <w:name w:val="List Continue 2"/>
    <w:basedOn w:val="Normal"/>
    <w:semiHidden/>
    <w:rsid w:val="007E6A6E"/>
    <w:pPr>
      <w:spacing w:after="120"/>
      <w:ind w:left="566"/>
    </w:pPr>
  </w:style>
  <w:style w:type="paragraph" w:styleId="ListContinue3">
    <w:name w:val="List Continue 3"/>
    <w:basedOn w:val="Normal"/>
    <w:semiHidden/>
    <w:rsid w:val="007E6A6E"/>
    <w:pPr>
      <w:spacing w:after="120"/>
      <w:ind w:left="849"/>
    </w:pPr>
  </w:style>
  <w:style w:type="paragraph" w:styleId="ListContinue4">
    <w:name w:val="List Continue 4"/>
    <w:basedOn w:val="Normal"/>
    <w:semiHidden/>
    <w:rsid w:val="007E6A6E"/>
    <w:pPr>
      <w:spacing w:after="120"/>
      <w:ind w:left="1132"/>
    </w:pPr>
  </w:style>
  <w:style w:type="paragraph" w:styleId="ListContinue5">
    <w:name w:val="List Continue 5"/>
    <w:basedOn w:val="Normal"/>
    <w:semiHidden/>
    <w:rsid w:val="007E6A6E"/>
    <w:pPr>
      <w:spacing w:after="120"/>
      <w:ind w:left="1415"/>
    </w:pPr>
  </w:style>
  <w:style w:type="paragraph" w:styleId="ListNumber">
    <w:name w:val="List Number"/>
    <w:basedOn w:val="Normal"/>
    <w:rsid w:val="007E6A6E"/>
    <w:pPr>
      <w:numPr>
        <w:numId w:val="5"/>
      </w:numPr>
    </w:pPr>
  </w:style>
  <w:style w:type="paragraph" w:styleId="ListNumber2">
    <w:name w:val="List Number 2"/>
    <w:basedOn w:val="Normal"/>
    <w:rsid w:val="007E6A6E"/>
    <w:pPr>
      <w:numPr>
        <w:numId w:val="6"/>
      </w:numPr>
    </w:pPr>
  </w:style>
  <w:style w:type="paragraph" w:styleId="ListNumber3">
    <w:name w:val="List Number 3"/>
    <w:basedOn w:val="Normal"/>
    <w:rsid w:val="007E6A6E"/>
    <w:pPr>
      <w:numPr>
        <w:numId w:val="7"/>
      </w:numPr>
    </w:pPr>
  </w:style>
  <w:style w:type="paragraph" w:styleId="ListNumber4">
    <w:name w:val="List Number 4"/>
    <w:basedOn w:val="Normal"/>
    <w:rsid w:val="007E6A6E"/>
    <w:pPr>
      <w:numPr>
        <w:numId w:val="8"/>
      </w:numPr>
    </w:pPr>
  </w:style>
  <w:style w:type="paragraph" w:styleId="ListNumber5">
    <w:name w:val="List Number 5"/>
    <w:basedOn w:val="Normal"/>
    <w:rsid w:val="007E6A6E"/>
    <w:pPr>
      <w:numPr>
        <w:numId w:val="9"/>
      </w:numPr>
    </w:pPr>
  </w:style>
  <w:style w:type="paragraph" w:styleId="MessageHeader">
    <w:name w:val="Message Header"/>
    <w:basedOn w:val="Normal"/>
    <w:semiHidden/>
    <w:rsid w:val="007E6A6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uiPriority w:val="99"/>
    <w:rsid w:val="001C3407"/>
    <w:rPr>
      <w:sz w:val="24"/>
      <w:szCs w:val="24"/>
    </w:rPr>
  </w:style>
  <w:style w:type="paragraph" w:styleId="NormalIndent">
    <w:name w:val="Normal Indent"/>
    <w:basedOn w:val="Normal"/>
    <w:semiHidden/>
    <w:rsid w:val="007E6A6E"/>
    <w:pPr>
      <w:ind w:left="720"/>
    </w:pPr>
  </w:style>
  <w:style w:type="paragraph" w:styleId="NoteHeading">
    <w:name w:val="Note Heading"/>
    <w:basedOn w:val="Normal"/>
    <w:next w:val="Normal"/>
    <w:semiHidden/>
    <w:rsid w:val="007E6A6E"/>
  </w:style>
  <w:style w:type="character" w:styleId="PageNumber">
    <w:name w:val="page number"/>
    <w:basedOn w:val="DefaultParagraphFont"/>
    <w:semiHidden/>
    <w:rsid w:val="007E6A6E"/>
  </w:style>
  <w:style w:type="paragraph" w:styleId="PlainText">
    <w:name w:val="Plain Text"/>
    <w:basedOn w:val="Normal"/>
    <w:semiHidden/>
    <w:rsid w:val="007E6A6E"/>
    <w:rPr>
      <w:rFonts w:ascii="Courier New" w:hAnsi="Courier New" w:cs="Courier New"/>
    </w:rPr>
  </w:style>
  <w:style w:type="paragraph" w:styleId="Salutation">
    <w:name w:val="Salutation"/>
    <w:basedOn w:val="Normal"/>
    <w:next w:val="Normal"/>
    <w:semiHidden/>
    <w:rsid w:val="007E6A6E"/>
  </w:style>
  <w:style w:type="paragraph" w:styleId="Signature">
    <w:name w:val="Signature"/>
    <w:basedOn w:val="Normal"/>
    <w:semiHidden/>
    <w:rsid w:val="007E6A6E"/>
    <w:pPr>
      <w:ind w:left="4252"/>
    </w:pPr>
  </w:style>
  <w:style w:type="character" w:styleId="Strong">
    <w:name w:val="Strong"/>
    <w:uiPriority w:val="22"/>
    <w:qFormat/>
    <w:rsid w:val="007E6A6E"/>
    <w:rPr>
      <w:b/>
      <w:bCs/>
    </w:rPr>
  </w:style>
  <w:style w:type="paragraph" w:styleId="Subtitle">
    <w:name w:val="Subtitle"/>
    <w:basedOn w:val="Normal"/>
    <w:rsid w:val="007E6A6E"/>
    <w:pPr>
      <w:spacing w:after="60"/>
      <w:jc w:val="center"/>
      <w:outlineLvl w:val="1"/>
    </w:pPr>
    <w:rPr>
      <w:rFonts w:cs="Arial"/>
      <w:sz w:val="24"/>
      <w:szCs w:val="24"/>
    </w:rPr>
  </w:style>
  <w:style w:type="table" w:styleId="Table3Deffects1">
    <w:name w:val="Table 3D effects 1"/>
    <w:basedOn w:val="TableNormal"/>
    <w:semiHidden/>
    <w:rsid w:val="007E6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6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6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E6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6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6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6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E6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6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6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E6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6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6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6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6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E6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E6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6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6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6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6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6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6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E6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6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6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6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6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6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6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E6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E6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E6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6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E6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6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E6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E6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6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E6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QGEAtable">
    <w:name w:val="QGEA table"/>
    <w:basedOn w:val="TableNormal"/>
    <w:rsid w:val="006334ED"/>
    <w:rPr>
      <w:rFonts w:ascii="Arial" w:hAnsi="Arial"/>
    </w:rPr>
    <w:tblPr>
      <w:tblInd w:w="709" w:type="dxa"/>
      <w:tblBorders>
        <w:top w:val="single" w:sz="4" w:space="0" w:color="3B6E8F"/>
        <w:left w:val="single" w:sz="4" w:space="0" w:color="3B6E8F"/>
        <w:bottom w:val="single" w:sz="4" w:space="0" w:color="3B6E8F"/>
        <w:right w:val="single" w:sz="4" w:space="0" w:color="3B6E8F"/>
        <w:insideH w:val="single" w:sz="4" w:space="0" w:color="3B6E8F"/>
        <w:insideV w:val="single" w:sz="4" w:space="0" w:color="3B6E8F"/>
      </w:tblBorders>
      <w:tblCellMar>
        <w:left w:w="57" w:type="dxa"/>
        <w:right w:w="51" w:type="dxa"/>
      </w:tblCellMar>
    </w:tblPr>
    <w:trPr>
      <w:cantSplit/>
    </w:trPr>
    <w:tcPr>
      <w:tcMar>
        <w:top w:w="28" w:type="dxa"/>
        <w:left w:w="85" w:type="dxa"/>
        <w:bottom w:w="28" w:type="dxa"/>
        <w:right w:w="85" w:type="dxa"/>
      </w:tcMar>
    </w:tcPr>
    <w:tblStylePr w:type="firstRow">
      <w:rPr>
        <w:rFonts w:ascii="Arial" w:hAnsi="Arial"/>
        <w:b w:val="0"/>
        <w:i w:val="0"/>
        <w:color w:val="auto"/>
        <w:sz w:val="20"/>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FFFFFF"/>
          <w:tl2br w:val="nil"/>
          <w:tr2bl w:val="nil"/>
        </w:tcBorders>
        <w:shd w:val="clear" w:color="auto" w:fill="3B6E8F"/>
      </w:tcPr>
    </w:tblStylePr>
  </w:style>
  <w:style w:type="paragraph" w:customStyle="1" w:styleId="Bodystylefordocumentdetails">
    <w:name w:val="Body style for document details"/>
    <w:basedOn w:val="BodyText"/>
    <w:semiHidden/>
    <w:rsid w:val="001C3407"/>
    <w:pPr>
      <w:spacing w:line="240" w:lineRule="atLeast"/>
      <w:ind w:left="0"/>
    </w:pPr>
  </w:style>
  <w:style w:type="paragraph" w:customStyle="1" w:styleId="Heading2nonumber">
    <w:name w:val="Heading 2 no number"/>
    <w:basedOn w:val="Heading2"/>
    <w:next w:val="Bodystylefordocumentdetails"/>
    <w:rsid w:val="00CA23BE"/>
    <w:pPr>
      <w:numPr>
        <w:ilvl w:val="0"/>
        <w:numId w:val="0"/>
      </w:numPr>
      <w:outlineLvl w:val="9"/>
    </w:pPr>
  </w:style>
  <w:style w:type="paragraph" w:customStyle="1" w:styleId="Bulletforexecsummary">
    <w:name w:val="Bullet for exec summary"/>
    <w:basedOn w:val="Bulletcircle"/>
    <w:rsid w:val="00045ECF"/>
    <w:pPr>
      <w:numPr>
        <w:numId w:val="15"/>
      </w:numPr>
    </w:pPr>
  </w:style>
  <w:style w:type="paragraph" w:customStyle="1" w:styleId="Image">
    <w:name w:val="Image"/>
    <w:basedOn w:val="BodyText"/>
    <w:next w:val="Caption"/>
    <w:rsid w:val="001C3407"/>
    <w:pPr>
      <w:keepNext/>
      <w:spacing w:before="0" w:line="240" w:lineRule="auto"/>
    </w:pPr>
  </w:style>
  <w:style w:type="paragraph" w:styleId="TableofFigures">
    <w:name w:val="table of figures"/>
    <w:semiHidden/>
    <w:rsid w:val="001C3407"/>
    <w:pPr>
      <w:spacing w:before="60" w:after="60"/>
      <w:ind w:right="567"/>
    </w:pPr>
    <w:rPr>
      <w:rFonts w:ascii="Arial" w:hAnsi="Arial"/>
      <w:sz w:val="22"/>
      <w:szCs w:val="24"/>
    </w:rPr>
  </w:style>
  <w:style w:type="character" w:customStyle="1" w:styleId="Artefacttype">
    <w:name w:val="Artefact type"/>
    <w:semiHidden/>
    <w:rsid w:val="009F7209"/>
  </w:style>
  <w:style w:type="paragraph" w:customStyle="1" w:styleId="Guidancetext">
    <w:name w:val="Guidance text"/>
    <w:basedOn w:val="BodyText"/>
    <w:semiHidden/>
    <w:rsid w:val="001C3407"/>
    <w:pPr>
      <w:pBdr>
        <w:top w:val="single" w:sz="4" w:space="1" w:color="000000"/>
        <w:left w:val="single" w:sz="4" w:space="4" w:color="000000"/>
        <w:bottom w:val="single" w:sz="4" w:space="1" w:color="000000"/>
        <w:right w:val="single" w:sz="4" w:space="4" w:color="000000"/>
      </w:pBdr>
      <w:shd w:val="clear" w:color="auto" w:fill="FFFFCC"/>
      <w:spacing w:line="260" w:lineRule="atLeast"/>
      <w:ind w:left="0"/>
    </w:pPr>
    <w:rPr>
      <w:sz w:val="20"/>
      <w:lang w:eastAsia="en-US"/>
    </w:rPr>
  </w:style>
  <w:style w:type="character" w:customStyle="1" w:styleId="Reportstatus">
    <w:name w:val="Report status"/>
    <w:semiHidden/>
    <w:rsid w:val="00CA23BE"/>
    <w:rPr>
      <w:rFonts w:ascii="Arial" w:hAnsi="Arial"/>
      <w:b/>
      <w:color w:val="013861"/>
      <w:sz w:val="22"/>
    </w:rPr>
  </w:style>
  <w:style w:type="character" w:customStyle="1" w:styleId="Heading2Char">
    <w:name w:val="Heading 2 Char"/>
    <w:link w:val="Heading2"/>
    <w:rsid w:val="001B7DE2"/>
    <w:rPr>
      <w:rFonts w:ascii="Arial" w:hAnsi="Arial" w:cs="Arial"/>
      <w:b/>
      <w:color w:val="5F5F5F"/>
      <w:sz w:val="28"/>
    </w:rPr>
  </w:style>
  <w:style w:type="character" w:customStyle="1" w:styleId="BodyTextChar">
    <w:name w:val="Body Text Char"/>
    <w:link w:val="BodyText"/>
    <w:uiPriority w:val="99"/>
    <w:rsid w:val="006517B2"/>
    <w:rPr>
      <w:rFonts w:ascii="Arial" w:hAnsi="Arial"/>
      <w:sz w:val="22"/>
    </w:rPr>
  </w:style>
  <w:style w:type="paragraph" w:customStyle="1" w:styleId="TitlePageOptionalTextLine">
    <w:name w:val="Title Page Optional Text Line"/>
    <w:basedOn w:val="Normal"/>
    <w:link w:val="TitlePageOptionalTextLineChar"/>
    <w:rsid w:val="00CA23BE"/>
    <w:rPr>
      <w:color w:val="FFFFFF"/>
      <w:sz w:val="30"/>
      <w:szCs w:val="24"/>
    </w:rPr>
  </w:style>
  <w:style w:type="paragraph" w:customStyle="1" w:styleId="tabletextnumber">
    <w:name w:val="table text number"/>
    <w:basedOn w:val="TableText"/>
    <w:rsid w:val="001C3407"/>
    <w:pPr>
      <w:numPr>
        <w:ilvl w:val="1"/>
      </w:numPr>
      <w:spacing w:before="40" w:after="40"/>
    </w:pPr>
  </w:style>
  <w:style w:type="paragraph" w:customStyle="1" w:styleId="tabletextalpha">
    <w:name w:val="table text alpha"/>
    <w:basedOn w:val="TableText"/>
    <w:rsid w:val="001C3407"/>
    <w:pPr>
      <w:numPr>
        <w:ilvl w:val="2"/>
      </w:numPr>
      <w:spacing w:before="40" w:after="40"/>
    </w:pPr>
  </w:style>
  <w:style w:type="paragraph" w:customStyle="1" w:styleId="TitlePageSubtitle">
    <w:name w:val="Title Page Subtitle"/>
    <w:basedOn w:val="Normal"/>
    <w:rsid w:val="00CA23BE"/>
    <w:pPr>
      <w:spacing w:after="60"/>
    </w:pPr>
    <w:rPr>
      <w:color w:val="FFFFFF"/>
      <w:sz w:val="40"/>
      <w:szCs w:val="24"/>
    </w:rPr>
  </w:style>
  <w:style w:type="paragraph" w:customStyle="1" w:styleId="Titlepageheading">
    <w:name w:val="Title page heading"/>
    <w:basedOn w:val="TitlePageSubtitle"/>
    <w:next w:val="TitlePageSubtitle"/>
    <w:rsid w:val="00506597"/>
    <w:pPr>
      <w:pBdr>
        <w:bottom w:val="single" w:sz="4" w:space="1" w:color="5F5F5F"/>
      </w:pBdr>
      <w:spacing w:before="2400" w:after="240" w:line="264" w:lineRule="auto"/>
    </w:pPr>
    <w:rPr>
      <w:rFonts w:cs="Arial"/>
      <w:color w:val="4D4D4D"/>
      <w:sz w:val="72"/>
    </w:rPr>
  </w:style>
  <w:style w:type="character" w:customStyle="1" w:styleId="TitlePageOptionalTextLineChar">
    <w:name w:val="Title Page Optional Text Line Char"/>
    <w:link w:val="TitlePageOptionalTextLine"/>
    <w:rsid w:val="00506597"/>
    <w:rPr>
      <w:rFonts w:ascii="Arial" w:hAnsi="Arial"/>
      <w:color w:val="FFFFFF"/>
      <w:sz w:val="30"/>
      <w:szCs w:val="24"/>
      <w:lang w:eastAsia="en-US"/>
    </w:rPr>
  </w:style>
  <w:style w:type="table" w:customStyle="1" w:styleId="Table-LowInk">
    <w:name w:val="Table - Low Ink"/>
    <w:basedOn w:val="TableNormal"/>
    <w:rsid w:val="007D23D6"/>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0">
    <w:name w:val="Table text"/>
    <w:basedOn w:val="Normal"/>
    <w:rsid w:val="007D23D6"/>
    <w:pPr>
      <w:spacing w:before="20" w:after="20" w:line="264" w:lineRule="auto"/>
    </w:pPr>
  </w:style>
  <w:style w:type="paragraph" w:customStyle="1" w:styleId="Tableheadings">
    <w:name w:val="Table headings"/>
    <w:basedOn w:val="Normal"/>
    <w:rsid w:val="007D23D6"/>
    <w:pPr>
      <w:spacing w:before="180" w:after="60" w:line="264" w:lineRule="auto"/>
    </w:pPr>
    <w:rPr>
      <w:szCs w:val="24"/>
    </w:rPr>
  </w:style>
  <w:style w:type="paragraph" w:customStyle="1" w:styleId="Bullet3">
    <w:name w:val="Bullet3"/>
    <w:basedOn w:val="Bulletopencircle"/>
    <w:link w:val="Bullet3Char"/>
    <w:autoRedefine/>
    <w:qFormat/>
    <w:rsid w:val="00702C47"/>
    <w:pPr>
      <w:numPr>
        <w:numId w:val="20"/>
      </w:numPr>
    </w:pPr>
  </w:style>
  <w:style w:type="paragraph" w:customStyle="1" w:styleId="Bullet2">
    <w:name w:val="Bullet2"/>
    <w:basedOn w:val="Bulletdash"/>
    <w:link w:val="Bullet2Char"/>
    <w:autoRedefine/>
    <w:qFormat/>
    <w:rsid w:val="00702C47"/>
  </w:style>
  <w:style w:type="character" w:customStyle="1" w:styleId="BulletopencircleChar">
    <w:name w:val="Bullet open circle Char"/>
    <w:link w:val="Bulletopencircle"/>
    <w:rsid w:val="00702C47"/>
    <w:rPr>
      <w:rFonts w:ascii="Arial" w:hAnsi="Arial"/>
      <w:sz w:val="22"/>
      <w:szCs w:val="22"/>
    </w:rPr>
  </w:style>
  <w:style w:type="character" w:customStyle="1" w:styleId="Bullet3Char">
    <w:name w:val="Bullet3 Char"/>
    <w:link w:val="Bullet3"/>
    <w:rsid w:val="00702C47"/>
    <w:rPr>
      <w:rFonts w:ascii="Arial" w:hAnsi="Arial"/>
      <w:sz w:val="22"/>
      <w:szCs w:val="22"/>
    </w:rPr>
  </w:style>
  <w:style w:type="character" w:customStyle="1" w:styleId="BulletdashChar">
    <w:name w:val="Bullet dash Char"/>
    <w:link w:val="Bulletdash"/>
    <w:rsid w:val="00702C47"/>
    <w:rPr>
      <w:rFonts w:ascii="Arial" w:hAnsi="Arial"/>
      <w:sz w:val="22"/>
      <w:szCs w:val="22"/>
    </w:rPr>
  </w:style>
  <w:style w:type="character" w:customStyle="1" w:styleId="Bullet2Char">
    <w:name w:val="Bullet2 Char"/>
    <w:link w:val="Bullet2"/>
    <w:rsid w:val="00702C47"/>
    <w:rPr>
      <w:rFonts w:ascii="Arial" w:hAnsi="Arial"/>
      <w:sz w:val="22"/>
      <w:szCs w:val="22"/>
    </w:rPr>
  </w:style>
  <w:style w:type="paragraph" w:customStyle="1" w:styleId="QGEA">
    <w:name w:val="QGEA"/>
    <w:basedOn w:val="Normal"/>
    <w:rsid w:val="005E7B99"/>
    <w:pPr>
      <w:widowControl w:val="0"/>
      <w:suppressAutoHyphens/>
      <w:autoSpaceDE w:val="0"/>
      <w:autoSpaceDN w:val="0"/>
      <w:adjustRightInd w:val="0"/>
      <w:spacing w:before="1200" w:line="288" w:lineRule="auto"/>
      <w:textAlignment w:val="center"/>
    </w:pPr>
    <w:rPr>
      <w:rFonts w:cs="MetaOT-Norm"/>
      <w:color w:val="003E68"/>
      <w:spacing w:val="-2"/>
      <w:sz w:val="34"/>
      <w:lang w:val="en-GB"/>
    </w:rPr>
  </w:style>
  <w:style w:type="character" w:customStyle="1" w:styleId="Titlepageinfo">
    <w:name w:val="Title page info"/>
    <w:rsid w:val="005E7B99"/>
    <w:rPr>
      <w:color w:val="003E68"/>
      <w:sz w:val="30"/>
    </w:rPr>
  </w:style>
  <w:style w:type="numbering" w:customStyle="1" w:styleId="StyleNumbered">
    <w:name w:val="Style Numbered"/>
    <w:basedOn w:val="NoList"/>
    <w:rsid w:val="005E7B99"/>
    <w:pPr>
      <w:numPr>
        <w:numId w:val="21"/>
      </w:numPr>
    </w:pPr>
  </w:style>
  <w:style w:type="paragraph" w:customStyle="1" w:styleId="Appendix">
    <w:name w:val="Appendix"/>
    <w:basedOn w:val="Appendix1"/>
    <w:next w:val="BodyText1"/>
    <w:link w:val="AppendixChar"/>
    <w:autoRedefine/>
    <w:qFormat/>
    <w:rsid w:val="00766CCB"/>
  </w:style>
  <w:style w:type="paragraph" w:customStyle="1" w:styleId="BodyText1">
    <w:name w:val="Body Text1"/>
    <w:basedOn w:val="BodyText"/>
    <w:link w:val="BodytextChar0"/>
    <w:autoRedefine/>
    <w:qFormat/>
    <w:rsid w:val="00DF1E5F"/>
    <w:pPr>
      <w:ind w:left="0"/>
    </w:pPr>
  </w:style>
  <w:style w:type="character" w:customStyle="1" w:styleId="Heading1Char">
    <w:name w:val="Heading 1 Char"/>
    <w:basedOn w:val="DefaultParagraphFont"/>
    <w:link w:val="Heading1"/>
    <w:rsid w:val="00B12183"/>
    <w:rPr>
      <w:rFonts w:ascii="Arial" w:hAnsi="Arial" w:cs="Arial"/>
      <w:b/>
      <w:bCs/>
      <w:color w:val="336699"/>
      <w:sz w:val="36"/>
      <w:shd w:val="clear" w:color="auto" w:fill="FFFFFF"/>
    </w:rPr>
  </w:style>
  <w:style w:type="character" w:customStyle="1" w:styleId="Heading1nonumberChar">
    <w:name w:val="Heading 1 no number Char"/>
    <w:basedOn w:val="Heading1Char"/>
    <w:link w:val="Heading1nonumber"/>
    <w:rsid w:val="00766CCB"/>
    <w:rPr>
      <w:rFonts w:ascii="Arial Bold" w:hAnsi="Arial Bold" w:cs="Arial"/>
      <w:b/>
      <w:bCs/>
      <w:snapToGrid/>
      <w:color w:val="004068"/>
      <w:kern w:val="28"/>
      <w:sz w:val="36"/>
      <w:szCs w:val="32"/>
      <w:shd w:val="clear" w:color="auto" w:fill="FFFFFF"/>
      <w:lang w:eastAsia="en-US"/>
    </w:rPr>
  </w:style>
  <w:style w:type="character" w:customStyle="1" w:styleId="Appendix1Char">
    <w:name w:val="Appendix 1 Char"/>
    <w:basedOn w:val="Heading1nonumberChar"/>
    <w:link w:val="Appendix1"/>
    <w:rsid w:val="00766CCB"/>
    <w:rPr>
      <w:rFonts w:ascii="Arial" w:hAnsi="Arial" w:cs="Arial"/>
      <w:b/>
      <w:bCs/>
      <w:snapToGrid/>
      <w:color w:val="336699"/>
      <w:kern w:val="28"/>
      <w:sz w:val="36"/>
      <w:szCs w:val="28"/>
      <w:shd w:val="clear" w:color="auto" w:fill="FFFFFF"/>
      <w:lang w:eastAsia="en-US"/>
    </w:rPr>
  </w:style>
  <w:style w:type="character" w:customStyle="1" w:styleId="AppendixChar">
    <w:name w:val="Appendix Char"/>
    <w:basedOn w:val="Appendix1Char"/>
    <w:link w:val="Appendix"/>
    <w:rsid w:val="00766CCB"/>
    <w:rPr>
      <w:rFonts w:ascii="Arial" w:hAnsi="Arial" w:cs="Arial"/>
      <w:b/>
      <w:bCs/>
      <w:snapToGrid/>
      <w:color w:val="336699"/>
      <w:kern w:val="28"/>
      <w:sz w:val="36"/>
      <w:szCs w:val="28"/>
      <w:shd w:val="clear" w:color="auto" w:fill="FFFFFF"/>
      <w:lang w:eastAsia="en-US"/>
    </w:rPr>
  </w:style>
  <w:style w:type="paragraph" w:customStyle="1" w:styleId="Bullet1">
    <w:name w:val="Bullet 1"/>
    <w:basedOn w:val="Bulletcircle"/>
    <w:link w:val="Bullet1Char"/>
    <w:autoRedefine/>
    <w:qFormat/>
    <w:rsid w:val="00766CCB"/>
    <w:pPr>
      <w:numPr>
        <w:numId w:val="19"/>
      </w:numPr>
    </w:pPr>
  </w:style>
  <w:style w:type="character" w:customStyle="1" w:styleId="BodytextChar0">
    <w:name w:val="Body text Char"/>
    <w:basedOn w:val="BodyTextChar"/>
    <w:link w:val="BodyText1"/>
    <w:rsid w:val="00DF1E5F"/>
    <w:rPr>
      <w:rFonts w:ascii="Arial" w:hAnsi="Arial"/>
      <w:sz w:val="22"/>
    </w:rPr>
  </w:style>
  <w:style w:type="paragraph" w:customStyle="1" w:styleId="Numberlist1">
    <w:name w:val="Number list 1"/>
    <w:basedOn w:val="Bullet3"/>
    <w:link w:val="Numberlist1Char"/>
    <w:autoRedefine/>
    <w:qFormat/>
    <w:rsid w:val="00766CCB"/>
    <w:pPr>
      <w:numPr>
        <w:ilvl w:val="0"/>
        <w:numId w:val="23"/>
      </w:numPr>
      <w:ind w:left="1134" w:hanging="425"/>
    </w:pPr>
  </w:style>
  <w:style w:type="character" w:customStyle="1" w:styleId="BulletcircleChar">
    <w:name w:val="Bullet circle Char"/>
    <w:basedOn w:val="BodyTextChar"/>
    <w:link w:val="Bulletcircle"/>
    <w:rsid w:val="00766CCB"/>
    <w:rPr>
      <w:rFonts w:ascii="Arial" w:hAnsi="Arial"/>
      <w:sz w:val="22"/>
      <w:szCs w:val="22"/>
    </w:rPr>
  </w:style>
  <w:style w:type="character" w:customStyle="1" w:styleId="Bullet1Char">
    <w:name w:val="Bullet 1 Char"/>
    <w:basedOn w:val="BulletcircleChar"/>
    <w:link w:val="Bullet1"/>
    <w:rsid w:val="00766CCB"/>
    <w:rPr>
      <w:rFonts w:ascii="Arial" w:hAnsi="Arial"/>
      <w:sz w:val="22"/>
      <w:szCs w:val="22"/>
    </w:rPr>
  </w:style>
  <w:style w:type="paragraph" w:customStyle="1" w:styleId="Numberlist2">
    <w:name w:val="Number list 2"/>
    <w:basedOn w:val="Bullet3"/>
    <w:link w:val="Numberlist2Char"/>
    <w:autoRedefine/>
    <w:qFormat/>
    <w:rsid w:val="00766CCB"/>
    <w:pPr>
      <w:numPr>
        <w:ilvl w:val="1"/>
        <w:numId w:val="23"/>
      </w:numPr>
      <w:ind w:left="1559" w:hanging="425"/>
    </w:pPr>
  </w:style>
  <w:style w:type="character" w:customStyle="1" w:styleId="Numberlist1Char">
    <w:name w:val="Number list 1 Char"/>
    <w:basedOn w:val="Bullet3Char"/>
    <w:link w:val="Numberlist1"/>
    <w:rsid w:val="00766CCB"/>
    <w:rPr>
      <w:rFonts w:ascii="Arial" w:hAnsi="Arial"/>
      <w:sz w:val="22"/>
      <w:szCs w:val="22"/>
    </w:rPr>
  </w:style>
  <w:style w:type="paragraph" w:customStyle="1" w:styleId="Numberlist3">
    <w:name w:val="Number list 3"/>
    <w:basedOn w:val="Bullet3"/>
    <w:link w:val="Numberlist3Char"/>
    <w:qFormat/>
    <w:rsid w:val="00766CCB"/>
    <w:pPr>
      <w:numPr>
        <w:numId w:val="23"/>
      </w:numPr>
      <w:ind w:left="1984" w:hanging="425"/>
    </w:pPr>
  </w:style>
  <w:style w:type="character" w:customStyle="1" w:styleId="Numberlist2Char">
    <w:name w:val="Number list 2 Char"/>
    <w:basedOn w:val="Bullet3Char"/>
    <w:link w:val="Numberlist2"/>
    <w:rsid w:val="00766CCB"/>
    <w:rPr>
      <w:rFonts w:ascii="Arial" w:hAnsi="Arial"/>
      <w:sz w:val="22"/>
      <w:szCs w:val="22"/>
    </w:rPr>
  </w:style>
  <w:style w:type="paragraph" w:customStyle="1" w:styleId="Appendixlvl3">
    <w:name w:val="Appendix lvl 3"/>
    <w:basedOn w:val="Appendix3"/>
    <w:next w:val="BodyText1"/>
    <w:link w:val="Appendixlvl3Char"/>
    <w:autoRedefine/>
    <w:qFormat/>
    <w:rsid w:val="00766CCB"/>
  </w:style>
  <w:style w:type="character" w:customStyle="1" w:styleId="Numberlist3Char">
    <w:name w:val="Number list 3 Char"/>
    <w:basedOn w:val="Bullet3Char"/>
    <w:link w:val="Numberlist3"/>
    <w:rsid w:val="00766CCB"/>
    <w:rPr>
      <w:rFonts w:ascii="Arial" w:hAnsi="Arial"/>
      <w:sz w:val="22"/>
      <w:szCs w:val="22"/>
    </w:rPr>
  </w:style>
  <w:style w:type="paragraph" w:customStyle="1" w:styleId="Appendixlvl2">
    <w:name w:val="Appendix lvl 2"/>
    <w:basedOn w:val="Appendix2"/>
    <w:next w:val="BodyText1"/>
    <w:link w:val="Appendixlvl2Char"/>
    <w:autoRedefine/>
    <w:qFormat/>
    <w:rsid w:val="00FA6C1E"/>
  </w:style>
  <w:style w:type="character" w:customStyle="1" w:styleId="Heading3Char">
    <w:name w:val="Heading 3 Char"/>
    <w:basedOn w:val="Heading2Char"/>
    <w:link w:val="Heading3"/>
    <w:rsid w:val="00766CCB"/>
    <w:rPr>
      <w:rFonts w:ascii="Arial" w:hAnsi="Arial" w:cs="Arial"/>
      <w:b/>
      <w:color w:val="5F5F5F"/>
      <w:kern w:val="24"/>
      <w:sz w:val="22"/>
      <w:szCs w:val="24"/>
    </w:rPr>
  </w:style>
  <w:style w:type="character" w:customStyle="1" w:styleId="Appendix3Char">
    <w:name w:val="Appendix 3 Char"/>
    <w:basedOn w:val="Heading3Char"/>
    <w:link w:val="Appendix3"/>
    <w:rsid w:val="00766CCB"/>
    <w:rPr>
      <w:rFonts w:ascii="Arial" w:hAnsi="Arial" w:cs="Arial"/>
      <w:b/>
      <w:color w:val="5F5F5F"/>
      <w:kern w:val="24"/>
      <w:sz w:val="22"/>
      <w:szCs w:val="24"/>
    </w:rPr>
  </w:style>
  <w:style w:type="character" w:customStyle="1" w:styleId="Appendixlvl3Char">
    <w:name w:val="Appendix lvl 3 Char"/>
    <w:basedOn w:val="Appendix3Char"/>
    <w:link w:val="Appendixlvl3"/>
    <w:rsid w:val="00766CCB"/>
    <w:rPr>
      <w:rFonts w:ascii="Arial" w:hAnsi="Arial" w:cs="Arial"/>
      <w:b/>
      <w:color w:val="5F5F5F"/>
      <w:kern w:val="24"/>
      <w:sz w:val="22"/>
      <w:szCs w:val="24"/>
    </w:rPr>
  </w:style>
  <w:style w:type="paragraph" w:customStyle="1" w:styleId="Appendixlvl4">
    <w:name w:val="Appendix lvl 4"/>
    <w:basedOn w:val="Appendix4"/>
    <w:next w:val="BodyText1"/>
    <w:link w:val="Appendixlvl4Char"/>
    <w:autoRedefine/>
    <w:qFormat/>
    <w:rsid w:val="00766CCB"/>
  </w:style>
  <w:style w:type="character" w:customStyle="1" w:styleId="Appendix2Char">
    <w:name w:val="Appendix 2 Char"/>
    <w:basedOn w:val="Heading2Char"/>
    <w:link w:val="Appendix2"/>
    <w:rsid w:val="00766CCB"/>
    <w:rPr>
      <w:rFonts w:ascii="Arial" w:hAnsi="Arial" w:cs="Arial"/>
      <w:b/>
      <w:color w:val="5F5F5F"/>
      <w:sz w:val="28"/>
    </w:rPr>
  </w:style>
  <w:style w:type="character" w:customStyle="1" w:styleId="Appendixlvl2Char">
    <w:name w:val="Appendix lvl 2 Char"/>
    <w:basedOn w:val="Appendix2Char"/>
    <w:link w:val="Appendixlvl2"/>
    <w:rsid w:val="00FA6C1E"/>
    <w:rPr>
      <w:rFonts w:ascii="Arial" w:hAnsi="Arial" w:cs="Arial"/>
      <w:b/>
      <w:color w:val="5F5F5F"/>
      <w:sz w:val="28"/>
    </w:rPr>
  </w:style>
  <w:style w:type="character" w:customStyle="1" w:styleId="Appendix4Char">
    <w:name w:val="Appendix 4 Char"/>
    <w:basedOn w:val="Appendix3Char"/>
    <w:link w:val="Appendix4"/>
    <w:semiHidden/>
    <w:rsid w:val="00766CCB"/>
    <w:rPr>
      <w:rFonts w:ascii="Arial" w:hAnsi="Arial" w:cs="Arial"/>
      <w:b w:val="0"/>
      <w:i/>
      <w:color w:val="5F5F5F"/>
      <w:kern w:val="24"/>
      <w:sz w:val="22"/>
      <w:szCs w:val="24"/>
      <w:lang w:val="en-US"/>
    </w:rPr>
  </w:style>
  <w:style w:type="character" w:customStyle="1" w:styleId="Appendixlvl4Char">
    <w:name w:val="Appendix lvl 4 Char"/>
    <w:basedOn w:val="Appendix4Char"/>
    <w:link w:val="Appendixlvl4"/>
    <w:rsid w:val="00766CCB"/>
    <w:rPr>
      <w:rFonts w:ascii="Arial" w:hAnsi="Arial" w:cs="Arial"/>
      <w:b w:val="0"/>
      <w:i/>
      <w:color w:val="5F5F5F"/>
      <w:kern w:val="24"/>
      <w:sz w:val="22"/>
      <w:szCs w:val="24"/>
      <w:lang w:val="en-US"/>
    </w:rPr>
  </w:style>
  <w:style w:type="paragraph" w:customStyle="1" w:styleId="Paragraph">
    <w:name w:val="Paragraph"/>
    <w:basedOn w:val="BodyText"/>
    <w:link w:val="ParagraphChar"/>
    <w:autoRedefine/>
    <w:rsid w:val="00485DEE"/>
  </w:style>
  <w:style w:type="character" w:customStyle="1" w:styleId="ParagraphChar">
    <w:name w:val="Paragraph Char"/>
    <w:basedOn w:val="BodyTextChar"/>
    <w:link w:val="Paragraph"/>
    <w:rsid w:val="00485DEE"/>
    <w:rPr>
      <w:rFonts w:ascii="Arial" w:hAnsi="Arial"/>
      <w:sz w:val="22"/>
    </w:rPr>
  </w:style>
  <w:style w:type="table" w:styleId="PlainTable2">
    <w:name w:val="Plain Table 2"/>
    <w:basedOn w:val="TableNormal"/>
    <w:uiPriority w:val="42"/>
    <w:rsid w:val="009855E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137934"/>
    <w:pPr>
      <w:ind w:left="720"/>
      <w:contextualSpacing/>
    </w:pPr>
  </w:style>
  <w:style w:type="paragraph" w:customStyle="1" w:styleId="tablenumber1">
    <w:name w:val="table number1"/>
    <w:basedOn w:val="ListParagraph"/>
    <w:link w:val="tablenumber1Char"/>
    <w:qFormat/>
    <w:rsid w:val="00137934"/>
    <w:pPr>
      <w:numPr>
        <w:numId w:val="24"/>
      </w:numPr>
      <w:ind w:left="430" w:hanging="425"/>
    </w:pPr>
    <w:rPr>
      <w:rFonts w:cs="Arial"/>
      <w:sz w:val="20"/>
    </w:rPr>
  </w:style>
  <w:style w:type="paragraph" w:customStyle="1" w:styleId="tablebullet1">
    <w:name w:val="table bullet1"/>
    <w:basedOn w:val="ListParagraph"/>
    <w:link w:val="tablebullet1Char"/>
    <w:qFormat/>
    <w:rsid w:val="00E37019"/>
    <w:pPr>
      <w:numPr>
        <w:numId w:val="25"/>
      </w:numPr>
      <w:ind w:left="430" w:hanging="425"/>
    </w:pPr>
    <w:rPr>
      <w:rFonts w:cs="Arial"/>
      <w:sz w:val="20"/>
    </w:rPr>
  </w:style>
  <w:style w:type="character" w:customStyle="1" w:styleId="ListParagraphChar">
    <w:name w:val="List Paragraph Char"/>
    <w:basedOn w:val="DefaultParagraphFont"/>
    <w:link w:val="ListParagraph"/>
    <w:uiPriority w:val="34"/>
    <w:rsid w:val="00137934"/>
    <w:rPr>
      <w:rFonts w:ascii="Arial" w:hAnsi="Arial"/>
      <w:sz w:val="22"/>
      <w:lang w:eastAsia="en-US"/>
    </w:rPr>
  </w:style>
  <w:style w:type="character" w:customStyle="1" w:styleId="tablenumber1Char">
    <w:name w:val="table number1 Char"/>
    <w:basedOn w:val="ListParagraphChar"/>
    <w:link w:val="tablenumber1"/>
    <w:rsid w:val="00137934"/>
    <w:rPr>
      <w:rFonts w:ascii="Arial" w:hAnsi="Arial" w:cs="Arial"/>
      <w:sz w:val="22"/>
      <w:lang w:eastAsia="en-US"/>
    </w:rPr>
  </w:style>
  <w:style w:type="paragraph" w:customStyle="1" w:styleId="tablebullet2">
    <w:name w:val="table bullet2"/>
    <w:basedOn w:val="tablebullet1"/>
    <w:link w:val="tablebullet2Char"/>
    <w:qFormat/>
    <w:rsid w:val="00E37019"/>
    <w:pPr>
      <w:numPr>
        <w:numId w:val="26"/>
      </w:numPr>
      <w:ind w:left="714" w:hanging="284"/>
    </w:pPr>
  </w:style>
  <w:style w:type="character" w:customStyle="1" w:styleId="tablebullet1Char">
    <w:name w:val="table bullet1 Char"/>
    <w:basedOn w:val="ListParagraphChar"/>
    <w:link w:val="tablebullet1"/>
    <w:rsid w:val="00E37019"/>
    <w:rPr>
      <w:rFonts w:ascii="Arial" w:hAnsi="Arial" w:cs="Arial"/>
      <w:sz w:val="22"/>
      <w:lang w:eastAsia="en-US"/>
    </w:rPr>
  </w:style>
  <w:style w:type="character" w:customStyle="1" w:styleId="tablebullet2Char">
    <w:name w:val="table bullet2 Char"/>
    <w:basedOn w:val="tablebullet1Char"/>
    <w:link w:val="tablebullet2"/>
    <w:rsid w:val="00E37019"/>
    <w:rPr>
      <w:rFonts w:ascii="Arial" w:hAnsi="Arial" w:cs="Arial"/>
      <w:sz w:val="22"/>
      <w:lang w:eastAsia="en-US"/>
    </w:rPr>
  </w:style>
  <w:style w:type="character" w:customStyle="1" w:styleId="BodyText1Char">
    <w:name w:val="Body Text1 Char"/>
    <w:basedOn w:val="BodyTextChar"/>
    <w:rsid w:val="00DF1E5F"/>
    <w:rPr>
      <w:rFonts w:asciiTheme="minorHAnsi" w:hAnsiTheme="minorHAnsi" w:cs="Tahoma"/>
      <w:color w:val="000000" w:themeColor="text1"/>
      <w:sz w:val="22"/>
      <w:szCs w:val="22"/>
      <w:lang w:val="en-US"/>
    </w:rPr>
  </w:style>
  <w:style w:type="paragraph" w:styleId="EndnoteText">
    <w:name w:val="endnote text"/>
    <w:basedOn w:val="Normal"/>
    <w:link w:val="EndnoteTextChar"/>
    <w:unhideWhenUsed/>
    <w:rsid w:val="003147B4"/>
    <w:pPr>
      <w:spacing w:before="0" w:line="240" w:lineRule="auto"/>
    </w:pPr>
    <w:rPr>
      <w:sz w:val="20"/>
    </w:rPr>
  </w:style>
  <w:style w:type="character" w:customStyle="1" w:styleId="EndnoteTextChar">
    <w:name w:val="Endnote Text Char"/>
    <w:basedOn w:val="DefaultParagraphFont"/>
    <w:link w:val="EndnoteText"/>
    <w:rsid w:val="003147B4"/>
    <w:rPr>
      <w:rFonts w:ascii="Arial" w:hAnsi="Arial"/>
      <w:lang w:eastAsia="en-US"/>
    </w:rPr>
  </w:style>
  <w:style w:type="character" w:styleId="EndnoteReference">
    <w:name w:val="endnote reference"/>
    <w:basedOn w:val="DefaultParagraphFont"/>
    <w:unhideWhenUsed/>
    <w:rsid w:val="003147B4"/>
    <w:rPr>
      <w:vertAlign w:val="superscript"/>
    </w:rPr>
  </w:style>
  <w:style w:type="character" w:customStyle="1" w:styleId="spellingerror">
    <w:name w:val="spellingerror"/>
    <w:basedOn w:val="DefaultParagraphFont"/>
    <w:rsid w:val="003147B4"/>
  </w:style>
  <w:style w:type="character" w:customStyle="1" w:styleId="normaltextrun">
    <w:name w:val="normaltextrun"/>
    <w:basedOn w:val="DefaultParagraphFont"/>
    <w:rsid w:val="003147B4"/>
  </w:style>
  <w:style w:type="character" w:customStyle="1" w:styleId="apple-converted-space">
    <w:name w:val="apple-converted-space"/>
    <w:basedOn w:val="DefaultParagraphFont"/>
    <w:rsid w:val="003147B4"/>
  </w:style>
  <w:style w:type="character" w:customStyle="1" w:styleId="annotate">
    <w:name w:val="annotate"/>
    <w:basedOn w:val="DefaultParagraphFont"/>
    <w:rsid w:val="003147B4"/>
  </w:style>
  <w:style w:type="character" w:customStyle="1" w:styleId="eop">
    <w:name w:val="eop"/>
    <w:basedOn w:val="DefaultParagraphFont"/>
    <w:rsid w:val="003147B4"/>
  </w:style>
  <w:style w:type="paragraph" w:customStyle="1" w:styleId="paragraph0">
    <w:name w:val="paragraph"/>
    <w:basedOn w:val="Normal"/>
    <w:rsid w:val="003147B4"/>
    <w:pPr>
      <w:spacing w:before="100" w:beforeAutospacing="1" w:after="100" w:afterAutospacing="1" w:line="240" w:lineRule="auto"/>
      <w:ind w:left="0"/>
    </w:pPr>
    <w:rPr>
      <w:rFonts w:ascii="Times New Roman" w:eastAsiaTheme="minorHAnsi" w:hAnsi="Times New Roman"/>
      <w:sz w:val="24"/>
      <w:szCs w:val="24"/>
      <w:lang w:val="en-US"/>
    </w:rPr>
  </w:style>
  <w:style w:type="character" w:customStyle="1" w:styleId="scx149691708">
    <w:name w:val="scx149691708"/>
    <w:basedOn w:val="DefaultParagraphFont"/>
    <w:rsid w:val="00314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994434">
      <w:bodyDiv w:val="1"/>
      <w:marLeft w:val="0"/>
      <w:marRight w:val="0"/>
      <w:marTop w:val="0"/>
      <w:marBottom w:val="0"/>
      <w:divBdr>
        <w:top w:val="none" w:sz="0" w:space="0" w:color="auto"/>
        <w:left w:val="none" w:sz="0" w:space="0" w:color="auto"/>
        <w:bottom w:val="none" w:sz="0" w:space="0" w:color="auto"/>
        <w:right w:val="none" w:sz="0" w:space="0" w:color="auto"/>
      </w:divBdr>
    </w:div>
    <w:div w:id="1660426946">
      <w:bodyDiv w:val="1"/>
      <w:marLeft w:val="0"/>
      <w:marRight w:val="0"/>
      <w:marTop w:val="0"/>
      <w:marBottom w:val="0"/>
      <w:divBdr>
        <w:top w:val="none" w:sz="0" w:space="0" w:color="auto"/>
        <w:left w:val="none" w:sz="0" w:space="0" w:color="auto"/>
        <w:bottom w:val="none" w:sz="0" w:space="0" w:color="auto"/>
        <w:right w:val="none" w:sz="0" w:space="0" w:color="auto"/>
      </w:divBdr>
    </w:div>
    <w:div w:id="17383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qgcio@qgcio.qld.gov.au" TargetMode="External"/><Relationship Id="rId13" Type="http://schemas.openxmlformats.org/officeDocument/2006/relationships/header" Target="header1.xml"/><Relationship Id="rId18" Type="http://schemas.openxmlformats.org/officeDocument/2006/relationships/package" Target="embeddings/Microsoft_Visio_Drawing.vsdx"/><Relationship Id="rId26" Type="http://schemas.openxmlformats.org/officeDocument/2006/relationships/package" Target="embeddings/Microsoft_Visio_Drawing4.vsd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qgcio@qgcio.qld.gov.au" TargetMode="Externa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1.vsd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package" Target="embeddings/Microsoft_Visio_Drawing3.vsdx"/><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package" Target="embeddings/Microsoft_Visio_Drawing5.vsdx"/><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footer" Target="footer1.xml"/><Relationship Id="rId22" Type="http://schemas.openxmlformats.org/officeDocument/2006/relationships/package" Target="embeddings/Microsoft_Visio_Drawing2.vsdx"/><Relationship Id="rId27" Type="http://schemas.openxmlformats.org/officeDocument/2006/relationships/image" Target="media/image9.emf"/><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kantarainitiative.org/confluence/download/attachments/76907066/NZ%20ProjectClosureReport_PoC%20Delegations-Final%20Version%20SIG%20redacted%20Rev1.pdf?api=v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Policy%20and%20Governance\QGEA\00.%20QGEA%20Gov%20Admin\Approved%20QGEA%20templates\01%20CURRENT%20TEMPLATES\TEMPLATE-QGEA_long_document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1F681-F3B7-488F-82E1-2BAD41488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TEMPLATE-QGEA_long_document2016</Template>
  <TotalTime>82</TotalTime>
  <Pages>16</Pages>
  <Words>3691</Words>
  <Characters>22839</Characters>
  <Application>Microsoft Office Word</Application>
  <DocSecurity>0</DocSecurity>
  <Lines>190</Lines>
  <Paragraphs>52</Paragraphs>
  <ScaleCrop>false</ScaleCrop>
  <HeadingPairs>
    <vt:vector size="2" baseType="variant">
      <vt:variant>
        <vt:lpstr>Title</vt:lpstr>
      </vt:variant>
      <vt:variant>
        <vt:i4>1</vt:i4>
      </vt:variant>
    </vt:vector>
  </HeadingPairs>
  <TitlesOfParts>
    <vt:vector size="1" baseType="lpstr">
      <vt:lpstr>Click here and type document title</vt:lpstr>
    </vt:vector>
  </TitlesOfParts>
  <Company>QGCIO</Company>
  <LinksUpToDate>false</LinksUpToDate>
  <CharactersWithSpaces>26478</CharactersWithSpaces>
  <SharedDoc>false</SharedDoc>
  <HLinks>
    <vt:vector size="84" baseType="variant">
      <vt:variant>
        <vt:i4>1769529</vt:i4>
      </vt:variant>
      <vt:variant>
        <vt:i4>89</vt:i4>
      </vt:variant>
      <vt:variant>
        <vt:i4>0</vt:i4>
      </vt:variant>
      <vt:variant>
        <vt:i4>5</vt:i4>
      </vt:variant>
      <vt:variant>
        <vt:lpwstr/>
      </vt:variant>
      <vt:variant>
        <vt:lpwstr>_Toc220983342</vt:lpwstr>
      </vt:variant>
      <vt:variant>
        <vt:i4>1048624</vt:i4>
      </vt:variant>
      <vt:variant>
        <vt:i4>80</vt:i4>
      </vt:variant>
      <vt:variant>
        <vt:i4>0</vt:i4>
      </vt:variant>
      <vt:variant>
        <vt:i4>5</vt:i4>
      </vt:variant>
      <vt:variant>
        <vt:lpwstr/>
      </vt:variant>
      <vt:variant>
        <vt:lpwstr>_Toc242600057</vt:lpwstr>
      </vt:variant>
      <vt:variant>
        <vt:i4>1441853</vt:i4>
      </vt:variant>
      <vt:variant>
        <vt:i4>71</vt:i4>
      </vt:variant>
      <vt:variant>
        <vt:i4>0</vt:i4>
      </vt:variant>
      <vt:variant>
        <vt:i4>5</vt:i4>
      </vt:variant>
      <vt:variant>
        <vt:lpwstr/>
      </vt:variant>
      <vt:variant>
        <vt:lpwstr>_Toc337112813</vt:lpwstr>
      </vt:variant>
      <vt:variant>
        <vt:i4>1441853</vt:i4>
      </vt:variant>
      <vt:variant>
        <vt:i4>65</vt:i4>
      </vt:variant>
      <vt:variant>
        <vt:i4>0</vt:i4>
      </vt:variant>
      <vt:variant>
        <vt:i4>5</vt:i4>
      </vt:variant>
      <vt:variant>
        <vt:lpwstr/>
      </vt:variant>
      <vt:variant>
        <vt:lpwstr>_Toc337112812</vt:lpwstr>
      </vt:variant>
      <vt:variant>
        <vt:i4>1441853</vt:i4>
      </vt:variant>
      <vt:variant>
        <vt:i4>59</vt:i4>
      </vt:variant>
      <vt:variant>
        <vt:i4>0</vt:i4>
      </vt:variant>
      <vt:variant>
        <vt:i4>5</vt:i4>
      </vt:variant>
      <vt:variant>
        <vt:lpwstr/>
      </vt:variant>
      <vt:variant>
        <vt:lpwstr>_Toc337112811</vt:lpwstr>
      </vt:variant>
      <vt:variant>
        <vt:i4>1441853</vt:i4>
      </vt:variant>
      <vt:variant>
        <vt:i4>53</vt:i4>
      </vt:variant>
      <vt:variant>
        <vt:i4>0</vt:i4>
      </vt:variant>
      <vt:variant>
        <vt:i4>5</vt:i4>
      </vt:variant>
      <vt:variant>
        <vt:lpwstr/>
      </vt:variant>
      <vt:variant>
        <vt:lpwstr>_Toc337112810</vt:lpwstr>
      </vt:variant>
      <vt:variant>
        <vt:i4>1507389</vt:i4>
      </vt:variant>
      <vt:variant>
        <vt:i4>47</vt:i4>
      </vt:variant>
      <vt:variant>
        <vt:i4>0</vt:i4>
      </vt:variant>
      <vt:variant>
        <vt:i4>5</vt:i4>
      </vt:variant>
      <vt:variant>
        <vt:lpwstr/>
      </vt:variant>
      <vt:variant>
        <vt:lpwstr>_Toc337112809</vt:lpwstr>
      </vt:variant>
      <vt:variant>
        <vt:i4>1507389</vt:i4>
      </vt:variant>
      <vt:variant>
        <vt:i4>41</vt:i4>
      </vt:variant>
      <vt:variant>
        <vt:i4>0</vt:i4>
      </vt:variant>
      <vt:variant>
        <vt:i4>5</vt:i4>
      </vt:variant>
      <vt:variant>
        <vt:lpwstr/>
      </vt:variant>
      <vt:variant>
        <vt:lpwstr>_Toc337112808</vt:lpwstr>
      </vt:variant>
      <vt:variant>
        <vt:i4>1507389</vt:i4>
      </vt:variant>
      <vt:variant>
        <vt:i4>35</vt:i4>
      </vt:variant>
      <vt:variant>
        <vt:i4>0</vt:i4>
      </vt:variant>
      <vt:variant>
        <vt:i4>5</vt:i4>
      </vt:variant>
      <vt:variant>
        <vt:lpwstr/>
      </vt:variant>
      <vt:variant>
        <vt:lpwstr>_Toc337112807</vt:lpwstr>
      </vt:variant>
      <vt:variant>
        <vt:i4>1507389</vt:i4>
      </vt:variant>
      <vt:variant>
        <vt:i4>29</vt:i4>
      </vt:variant>
      <vt:variant>
        <vt:i4>0</vt:i4>
      </vt:variant>
      <vt:variant>
        <vt:i4>5</vt:i4>
      </vt:variant>
      <vt:variant>
        <vt:lpwstr/>
      </vt:variant>
      <vt:variant>
        <vt:lpwstr>_Toc337112806</vt:lpwstr>
      </vt:variant>
      <vt:variant>
        <vt:i4>1507389</vt:i4>
      </vt:variant>
      <vt:variant>
        <vt:i4>23</vt:i4>
      </vt:variant>
      <vt:variant>
        <vt:i4>0</vt:i4>
      </vt:variant>
      <vt:variant>
        <vt:i4>5</vt:i4>
      </vt:variant>
      <vt:variant>
        <vt:lpwstr/>
      </vt:variant>
      <vt:variant>
        <vt:lpwstr>_Toc337112805</vt:lpwstr>
      </vt:variant>
      <vt:variant>
        <vt:i4>1507389</vt:i4>
      </vt:variant>
      <vt:variant>
        <vt:i4>17</vt:i4>
      </vt:variant>
      <vt:variant>
        <vt:i4>0</vt:i4>
      </vt:variant>
      <vt:variant>
        <vt:i4>5</vt:i4>
      </vt:variant>
      <vt:variant>
        <vt:lpwstr/>
      </vt:variant>
      <vt:variant>
        <vt:lpwstr>_Toc337112804</vt:lpwstr>
      </vt:variant>
      <vt:variant>
        <vt:i4>1507389</vt:i4>
      </vt:variant>
      <vt:variant>
        <vt:i4>11</vt:i4>
      </vt:variant>
      <vt:variant>
        <vt:i4>0</vt:i4>
      </vt:variant>
      <vt:variant>
        <vt:i4>5</vt:i4>
      </vt:variant>
      <vt:variant>
        <vt:lpwstr/>
      </vt:variant>
      <vt:variant>
        <vt:lpwstr>_Toc337112803</vt:lpwstr>
      </vt:variant>
      <vt:variant>
        <vt:i4>3014716</vt:i4>
      </vt:variant>
      <vt:variant>
        <vt:i4>3</vt:i4>
      </vt:variant>
      <vt:variant>
        <vt:i4>0</vt:i4>
      </vt:variant>
      <vt:variant>
        <vt:i4>5</vt:i4>
      </vt:variant>
      <vt:variant>
        <vt:lpwstr>http://creativecommons.org/licenses/by/2.5/au/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document title</dc:title>
  <dc:subject>QGEA generic report</dc:subject>
  <dc:creator>Lisa Irwin</dc:creator>
  <cp:keywords/>
  <dc:description/>
  <cp:lastModifiedBy>Lisa Irwin</cp:lastModifiedBy>
  <cp:revision>5</cp:revision>
  <cp:lastPrinted>2011-02-16T03:33:00Z</cp:lastPrinted>
  <dcterms:created xsi:type="dcterms:W3CDTF">2017-06-05T01:37:00Z</dcterms:created>
  <dcterms:modified xsi:type="dcterms:W3CDTF">2017-06-05T03:12:00Z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2.0.0</vt:lpwstr>
  </property>
  <property fmtid="{D5CDD505-2E9C-101B-9397-08002B2CF9AE}" pid="3" name="Date completed">
    <vt:lpwstr>19 June 2010</vt:lpwstr>
  </property>
  <property fmtid="{D5CDD505-2E9C-101B-9397-08002B2CF9AE}" pid="4" name="Template">
    <vt:lpwstr>QGEA generic report</vt:lpwstr>
  </property>
</Properties>
</file>